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BDF7" w14:textId="39F16158" w:rsidR="00F01FB8" w:rsidRPr="00F01FB8" w:rsidRDefault="00F01FB8" w:rsidP="002A4C19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MZBK.260</w:t>
      </w:r>
      <w:r w:rsidR="009D480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.158</w:t>
      </w: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.202</w:t>
      </w:r>
      <w:r w:rsidR="009D480C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5</w:t>
      </w:r>
    </w:p>
    <w:p w14:paraId="14948752" w14:textId="77777777" w:rsidR="00F01FB8" w:rsidRPr="00F01FB8" w:rsidRDefault="00F01FB8" w:rsidP="00F01FB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21181F6B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(pieczęć Wykonawcy)</w:t>
      </w:r>
    </w:p>
    <w:p w14:paraId="357A226A" w14:textId="77777777" w:rsidR="00F01FB8" w:rsidRPr="00F01FB8" w:rsidRDefault="00F01FB8" w:rsidP="00F01FB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FORMULARZ OFERTOWY </w:t>
      </w:r>
    </w:p>
    <w:p w14:paraId="29870E7B" w14:textId="77777777" w:rsidR="00F01FB8" w:rsidRPr="00F01FB8" w:rsidRDefault="00F01FB8" w:rsidP="00F01FB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3D435395" w14:textId="5B2164E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Wykonawca:……………………………………………………………………………………</w:t>
      </w:r>
    </w:p>
    <w:p w14:paraId="5AEA5F3B" w14:textId="2B28D98C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Adres……………………………………………………………………………………………</w:t>
      </w:r>
    </w:p>
    <w:p w14:paraId="6C544E0C" w14:textId="52C97327" w:rsidR="00F01FB8" w:rsidRPr="00F01FB8" w:rsidRDefault="00F01FB8" w:rsidP="00F96D8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Numer telefonu : ………</w:t>
      </w:r>
      <w:r w:rsidR="00F96D8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…</w:t>
      </w: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…………. Numer Fax : </w:t>
      </w:r>
      <w:r w:rsidR="00F96D85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…………………….............................</w:t>
      </w: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….</w:t>
      </w:r>
    </w:p>
    <w:p w14:paraId="1B619060" w14:textId="4E594F35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NIP / REGON …………………………………</w:t>
      </w:r>
    </w:p>
    <w:p w14:paraId="08EC768A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  <w:t>Podane dane w zakresie adresu, numeru telefonu, faxu, email będą wykorzystywane do kontaktu z Wykonawcą</w:t>
      </w:r>
    </w:p>
    <w:p w14:paraId="728C406E" w14:textId="074BD837" w:rsidR="00F01FB8" w:rsidRPr="00F01FB8" w:rsidRDefault="00F01FB8" w:rsidP="00F01FB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990B3ED" w14:textId="60871D69" w:rsidR="00F01FB8" w:rsidRPr="00F01FB8" w:rsidRDefault="00F01FB8" w:rsidP="00F01FB8">
      <w:pPr>
        <w:spacing w:after="200" w:line="276" w:lineRule="auto"/>
        <w:jc w:val="both"/>
        <w:rPr>
          <w:rFonts w:ascii="Times New Roman" w:eastAsia="Times New Roman" w:hAnsi="Times New Roman" w:cs="Calibri"/>
          <w:b/>
          <w:kern w:val="0"/>
          <w:sz w:val="24"/>
          <w:szCs w:val="24"/>
          <w:lang w:eastAsia="pl-PL"/>
          <w14:ligatures w14:val="none"/>
        </w:rPr>
      </w:pP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1. </w:t>
      </w:r>
      <w:r w:rsidR="001C4461"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Oferujemy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wykonanie przedmiotu zamówienia, o którym mowa w</w:t>
      </w:r>
      <w:r w:rsidRPr="00F01FB8">
        <w:rPr>
          <w:rFonts w:ascii="Times New Roman" w:eastAsia="Times New Roman" w:hAnsi="Times New Roman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zaproszeniu z dnia 1</w:t>
      </w:r>
      <w:r w:rsidR="009D480C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.12.202</w:t>
      </w:r>
      <w:r w:rsidR="009D480C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5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r. na </w:t>
      </w: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wykonywanie przeglądów elektrycznych dla Miejskiego Zarządu Budynków Komunalnych w Sławkowie</w:t>
      </w:r>
      <w:r w:rsidR="00592AD2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w roku</w:t>
      </w: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9D480C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F01FB8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zgodnie z wymaganiami zawartymi w zaproszeniu</w:t>
      </w:r>
      <w:r w:rsidR="00FA14B7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, za kwotę:                                                                                      </w:t>
      </w:r>
    </w:p>
    <w:p w14:paraId="0F53373C" w14:textId="136883DE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styczniu 202</w:t>
      </w:r>
      <w:r w:rsidR="009D480C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067AABC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2B1BAC0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FA2989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BC5178B" w14:textId="77777777" w:rsid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0C852A71" w14:textId="52696180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lutym 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202</w:t>
      </w:r>
      <w:r w:rsidR="00496EA9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6BB9DAA2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540571C9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6FEB0C73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819B016" w14:textId="77777777" w:rsidR="00FA14B7" w:rsidRDefault="00FA14B7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3253A43" w14:textId="1B491E1C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marcu 202</w:t>
      </w:r>
      <w:r w:rsidR="00496EA9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56390577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64937A00" w14:textId="7236969F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3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08BC2EB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3657E3DD" w14:textId="77777777" w:rsid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C5DCD04" w14:textId="3F8166B0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kwietniu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</w:t>
      </w:r>
      <w:r w:rsidR="00496EA9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158F0386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2A86E2D4" w14:textId="4158A65E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4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13B8ACDF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398EA35" w14:textId="77777777" w:rsidR="00FA14B7" w:rsidRPr="00F01FB8" w:rsidRDefault="00FA14B7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64CD6B87" w14:textId="48FB5826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maju 202</w:t>
      </w:r>
      <w:r w:rsidR="00496EA9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37A2F681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01D79240" w14:textId="3D533022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5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46125D7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999861D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21BAE120" w14:textId="349DDC1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Cena za przeglądy w miesiącu czerwcu 202</w:t>
      </w:r>
      <w:r w:rsidR="00496EA9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195B534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5F95BB27" w14:textId="7CC8620A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6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0E39BF82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587486C3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0962CAF3" w14:textId="000B4ABF" w:rsidR="00F01FB8" w:rsidRPr="00F01FB8" w:rsidRDefault="00B84E50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C</w:t>
      </w:r>
      <w:r w:rsidR="00F01FB8"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ena za przeglądy w miesiącu lipcu 202</w:t>
      </w:r>
      <w:r w:rsidR="000407B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="00F01FB8"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2E10732B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481EF683" w14:textId="202E0E9A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7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66E3DAC7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4E4CE04E" w14:textId="77777777" w:rsid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5CA784A4" w14:textId="2D07748D" w:rsidR="00FA14B7" w:rsidRPr="00F01FB8" w:rsidRDefault="00FA14B7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wrześniu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</w:t>
      </w:r>
      <w:r w:rsidR="000407B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219866F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6EB2CDF8" w14:textId="795698FE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647D77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8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C94A4CB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06A0AA07" w14:textId="77777777" w:rsidR="00FA14B7" w:rsidRPr="00F01FB8" w:rsidRDefault="00FA14B7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7645EC45" w14:textId="65C92148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lastRenderedPageBreak/>
        <w:t>Cena za przeglądy w miesiącu październiku 202</w:t>
      </w:r>
      <w:r w:rsidR="000407B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73860E65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78E3384B" w14:textId="6150BAD2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647D77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9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3FF37BF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AE7DA7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</w:p>
    <w:p w14:paraId="2BB60837" w14:textId="6E5BDB44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Cena za przeglądy w miesiącu </w:t>
      </w:r>
      <w:r w:rsidR="000407B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grud</w:t>
      </w:r>
      <w:r w:rsidR="00E622BD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niu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</w:t>
      </w:r>
      <w:r w:rsidR="00E622BD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0165E3F3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3CE69D12" w14:textId="56F18D50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647D77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0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7624936E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7438CABC" w14:textId="77777777" w:rsid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567B3E49" w14:textId="02C43753" w:rsidR="00FA14B7" w:rsidRPr="00F01FB8" w:rsidRDefault="005C5859" w:rsidP="00FA14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Łączna cena za</w:t>
      </w:r>
      <w:r w:rsidR="00FA14B7"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przeglądy </w:t>
      </w:r>
      <w:r w:rsidR="00FA14B7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kwartalne i roczne systemu napowietrzania dróg ewakuacyjnych</w:t>
      </w:r>
      <w:r w:rsidR="00320A1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FA14B7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(oddymiania) </w:t>
      </w:r>
      <w:r w:rsidR="00547F26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   </w:t>
      </w:r>
      <w:r w:rsidR="00FA14B7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</w:t>
      </w:r>
      <w:r w:rsidR="00FA14B7"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202</w:t>
      </w:r>
      <w:r w:rsidR="000407BB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6</w:t>
      </w:r>
      <w:r w:rsidR="00FA14B7"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 xml:space="preserve"> :</w:t>
      </w:r>
    </w:p>
    <w:p w14:paraId="51114A9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1F67550E" w14:textId="5CF71039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1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A36B787" w14:textId="77777777" w:rsidR="00FA14B7" w:rsidRPr="00F01FB8" w:rsidRDefault="00FA14B7" w:rsidP="00FA14B7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50CCA8F9" w14:textId="77777777" w:rsidR="00FA14B7" w:rsidRPr="00F01FB8" w:rsidRDefault="00FA14B7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41C67E2A" w14:textId="77777777" w:rsidR="00F01FB8" w:rsidRPr="00F01FB8" w:rsidRDefault="00F01FB8" w:rsidP="00F01F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Łączna cena za wykonanie wszystkich przeglądów:</w:t>
      </w:r>
    </w:p>
    <w:p w14:paraId="76E2F270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netto: ………………………………………………………………………...</w:t>
      </w:r>
    </w:p>
    <w:p w14:paraId="7B7BA314" w14:textId="2452ED12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brutto</w:t>
      </w:r>
      <w:r w:rsidR="00320A1B" w:rsidRPr="00F01FB8"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2"/>
      </w: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:..............................................................................................................</w:t>
      </w:r>
    </w:p>
    <w:p w14:paraId="512C21C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</w:pPr>
      <w:r w:rsidRPr="00F01FB8">
        <w:rPr>
          <w:rFonts w:ascii="Times New Roman" w:eastAsia="Times New Roman" w:hAnsi="Times New Roman"/>
          <w:b/>
          <w:kern w:val="0"/>
          <w:sz w:val="20"/>
          <w:szCs w:val="20"/>
          <w:lang w:eastAsia="pl-PL"/>
          <w14:ligatures w14:val="none"/>
        </w:rPr>
        <w:t>w tym podatek VAT…………… %.</w:t>
      </w:r>
    </w:p>
    <w:p w14:paraId="25190F09" w14:textId="77777777" w:rsidR="00F01FB8" w:rsidRPr="00F01FB8" w:rsidRDefault="00F01FB8" w:rsidP="00F01FB8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583B2D06" w14:textId="77777777" w:rsidR="00F01FB8" w:rsidRPr="00F01FB8" w:rsidRDefault="00F01FB8" w:rsidP="00F01FB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AA4B88" w14:textId="482FD1DB" w:rsidR="0045405A" w:rsidRDefault="00807011" w:rsidP="00DE6E91">
      <w:pPr>
        <w:jc w:val="both"/>
        <w:rPr>
          <w:rFonts w:ascii="Times New Roman" w:hAnsi="Times New Roman"/>
          <w:b/>
        </w:rPr>
      </w:pPr>
      <w:r w:rsidRPr="00807011">
        <w:rPr>
          <w:rFonts w:ascii="Times New Roman" w:hAnsi="Times New Roman"/>
          <w:b/>
        </w:rPr>
        <w:t xml:space="preserve">Załącznik </w:t>
      </w:r>
      <w:r w:rsidR="0045405A" w:rsidRPr="00807011">
        <w:rPr>
          <w:rFonts w:ascii="Times New Roman" w:hAnsi="Times New Roman"/>
          <w:b/>
        </w:rPr>
        <w:t xml:space="preserve"> nr 1.  Wykaz budynków, podlegających przeglądom elektrycznym.</w:t>
      </w:r>
      <w:r w:rsidR="003129F1" w:rsidRPr="00807011">
        <w:rPr>
          <w:rFonts w:ascii="Times New Roman" w:hAnsi="Times New Roman"/>
          <w:b/>
        </w:rPr>
        <w:t xml:space="preserve"> </w:t>
      </w:r>
    </w:p>
    <w:tbl>
      <w:tblPr>
        <w:tblW w:w="9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4453"/>
        <w:gridCol w:w="1561"/>
        <w:gridCol w:w="1421"/>
        <w:gridCol w:w="147"/>
      </w:tblGrid>
      <w:tr w:rsidR="001F4228" w:rsidRPr="001F4228" w14:paraId="37D8DB55" w14:textId="77777777" w:rsidTr="001F4228">
        <w:trPr>
          <w:gridAfter w:val="1"/>
          <w:wAfter w:w="147" w:type="dxa"/>
          <w:trHeight w:val="263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92616" w14:textId="77777777" w:rsidR="001F4228" w:rsidRPr="001F4228" w:rsidRDefault="001F4228" w:rsidP="001F422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4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6D7F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przeglądu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F7B42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760C8" w14:textId="12EBE574" w:rsidR="001F4228" w:rsidRPr="001F4228" w:rsidRDefault="001F4228" w:rsidP="001F4228">
            <w:pPr>
              <w:spacing w:after="0" w:line="240" w:lineRule="auto"/>
              <w:ind w:left="-3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       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Cena jednostkowa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przegląd netto</w:t>
            </w:r>
          </w:p>
        </w:tc>
      </w:tr>
      <w:tr w:rsidR="001F4228" w:rsidRPr="001F4228" w14:paraId="6714E896" w14:textId="77777777" w:rsidTr="001F4228">
        <w:trPr>
          <w:gridAfter w:val="1"/>
          <w:wAfter w:w="147" w:type="dxa"/>
          <w:trHeight w:val="315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31D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8E40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FAE9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wykonania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9A17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F20D001" w14:textId="77777777" w:rsidTr="001F4228">
        <w:trPr>
          <w:gridAfter w:val="1"/>
          <w:wAfter w:w="147" w:type="dxa"/>
          <w:trHeight w:val="480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BBAE7" w14:textId="6BDB1196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tyczeń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02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E05C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F4228" w:rsidRPr="001F4228" w14:paraId="033DD402" w14:textId="77777777" w:rsidTr="0069127F">
        <w:trPr>
          <w:gridAfter w:val="1"/>
          <w:wAfter w:w="147" w:type="dxa"/>
          <w:trHeight w:val="423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883F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Mały Rynek 9    (roczny)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C61A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ABD8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05.01.2026r.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9B9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1A7BD2E7" w14:textId="77777777" w:rsidTr="0069127F">
        <w:trPr>
          <w:gridAfter w:val="1"/>
          <w:wAfter w:w="147" w:type="dxa"/>
          <w:trHeight w:val="402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FB0B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1042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90A4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5C3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7EB2FC05" w14:textId="77777777" w:rsidTr="0069127F">
        <w:trPr>
          <w:gridAfter w:val="1"/>
          <w:wAfter w:w="147" w:type="dxa"/>
          <w:trHeight w:val="40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9E9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FDDC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CE97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5A54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32FAD5A4" w14:textId="77777777" w:rsidTr="001F4228">
        <w:trPr>
          <w:gridAfter w:val="1"/>
          <w:wAfter w:w="147" w:type="dxa"/>
          <w:trHeight w:val="463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B3A7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Mały Rynek 10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7F8B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4034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BA2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4A221868" w14:textId="77777777" w:rsidTr="00BD67D9">
        <w:trPr>
          <w:gridAfter w:val="1"/>
          <w:wAfter w:w="147" w:type="dxa"/>
          <w:trHeight w:val="23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E2B10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AEE33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078B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50C3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565843CD" w14:textId="77777777" w:rsidTr="00BD67D9">
        <w:trPr>
          <w:gridAfter w:val="1"/>
          <w:wAfter w:w="147" w:type="dxa"/>
          <w:trHeight w:val="491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90F2ED1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83C40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3C13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4D4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1E25B15C" w14:textId="77777777" w:rsidTr="001F4228">
        <w:trPr>
          <w:gridAfter w:val="1"/>
          <w:wAfter w:w="147" w:type="dxa"/>
          <w:trHeight w:val="88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DE81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Rynek 31                     (roczny)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8CC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A6B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12.01.2026r.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5435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1A2E6D03" w14:textId="77777777" w:rsidTr="00BD67D9">
        <w:trPr>
          <w:gridAfter w:val="1"/>
          <w:wAfter w:w="147" w:type="dxa"/>
          <w:trHeight w:val="4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1CBD9" w14:textId="261B0B69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Lokale</w:t>
            </w:r>
            <w:r w:rsidR="0069127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mieszkalne                    </w:t>
            </w: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60AD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A19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4027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F4228" w:rsidRPr="001F4228" w14:paraId="0C50B9DA" w14:textId="77777777" w:rsidTr="00BD67D9">
        <w:trPr>
          <w:gridAfter w:val="1"/>
          <w:wAfter w:w="147" w:type="dxa"/>
          <w:trHeight w:val="42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8DC44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6DDD2" w14:textId="77777777" w:rsidR="001F4228" w:rsidRPr="001F4228" w:rsidRDefault="001F4228" w:rsidP="001F4228">
            <w:pPr>
              <w:spacing w:after="0" w:line="240" w:lineRule="auto"/>
              <w:ind w:hanging="10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86ED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1561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6772ECCA" w14:textId="77777777" w:rsidTr="001F4228">
        <w:trPr>
          <w:gridAfter w:val="1"/>
          <w:wAfter w:w="147" w:type="dxa"/>
          <w:trHeight w:val="66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69F9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Rynek 31                     (roczny)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50A9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43F8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12.01.2026r.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64E3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5EBCCB87" w14:textId="77777777" w:rsidTr="005200B7">
        <w:trPr>
          <w:gridAfter w:val="1"/>
          <w:wAfter w:w="147" w:type="dxa"/>
          <w:trHeight w:val="4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301A9" w14:textId="7B01F77A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Lokale</w:t>
            </w:r>
            <w:r w:rsidR="0069127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usługowe</w:t>
            </w: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3890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CF38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7C3B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7F84F764" w14:textId="77777777" w:rsidTr="005200B7">
        <w:trPr>
          <w:gridAfter w:val="1"/>
          <w:wAfter w:w="147" w:type="dxa"/>
          <w:trHeight w:val="53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8D7C8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AD00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C45A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398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5A402327" w14:textId="77777777" w:rsidTr="0069127F">
        <w:trPr>
          <w:gridAfter w:val="1"/>
          <w:wAfter w:w="147" w:type="dxa"/>
          <w:trHeight w:val="46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1ABD3" w14:textId="77777777" w:rsidR="005200B7" w:rsidRDefault="005200B7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B13AC5E" w14:textId="2B608316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Szalety Rynek              (zawiera 5 – letni i roczny zgodnie z  art. 62 ust. 1 pkt 1 jak i pkt 2 ustawy – Prawo budowlane ) 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618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12CB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C36D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0E5B7AD8" w14:textId="77777777" w:rsidTr="001F4228">
        <w:trPr>
          <w:gridAfter w:val="1"/>
          <w:wAfter w:w="147" w:type="dxa"/>
          <w:trHeight w:val="44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17B9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23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B0E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18AE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03FBF790" w14:textId="77777777" w:rsidTr="0069127F">
        <w:trPr>
          <w:gridAfter w:val="1"/>
          <w:wAfter w:w="147" w:type="dxa"/>
          <w:trHeight w:val="46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474A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C0FC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ciągłości przewodów ochronnych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4ED7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1C8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786375E4" w14:textId="77777777" w:rsidTr="0069127F">
        <w:trPr>
          <w:gridAfter w:val="1"/>
          <w:wAfter w:w="147" w:type="dxa"/>
          <w:trHeight w:val="45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4F47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C9C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FDE6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522C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2DE9CFC9" w14:textId="77777777" w:rsidTr="001F4228">
        <w:trPr>
          <w:gridAfter w:val="1"/>
          <w:wAfter w:w="147" w:type="dxa"/>
          <w:trHeight w:val="49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EB0F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381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DB3D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7EF0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74EF91A0" w14:textId="77777777" w:rsidTr="001F4228">
        <w:trPr>
          <w:gridAfter w:val="1"/>
          <w:wAfter w:w="147" w:type="dxa"/>
          <w:trHeight w:val="52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52F9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0222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A172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6A11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F4228" w:rsidRPr="001F4228" w14:paraId="2AD8887C" w14:textId="77777777" w:rsidTr="001724A5">
        <w:trPr>
          <w:trHeight w:val="4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29B0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2A87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5FBA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328E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0DF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1F4228" w:rsidRPr="001F4228" w14:paraId="3F048AB5" w14:textId="77777777" w:rsidTr="0069127F">
        <w:trPr>
          <w:trHeight w:val="421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8C90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11A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4D79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E928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7BEA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5FABB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BE64C27" w14:textId="77777777" w:rsidTr="0069127F">
        <w:trPr>
          <w:trHeight w:val="41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A21A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A3D6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2F05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BE5F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1D322A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8F0CF4C" w14:textId="77777777" w:rsidTr="001F4228">
        <w:trPr>
          <w:trHeight w:val="435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41D9B" w14:textId="571A559A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Fabryczna 11A          </w:t>
            </w:r>
            <w:r w:rsidR="0069127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(5 letni)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087F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C111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7EEA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39B53F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E91D693" w14:textId="77777777" w:rsidTr="0069127F">
        <w:trPr>
          <w:trHeight w:val="51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D62A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ED53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Uziemienie przewodu ochronnego za układem pomiarowym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A24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9A09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D13759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B0FE065" w14:textId="77777777" w:rsidTr="0069127F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1A74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A715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9CD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14.01.2026r.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D4D8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69346C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9AC4E42" w14:textId="77777777" w:rsidTr="0069127F">
        <w:trPr>
          <w:trHeight w:val="39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045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A64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Ciągłość przewodów ochronnych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AE46C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E5CD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79BA8E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88ECBE0" w14:textId="77777777" w:rsidTr="0069127F">
        <w:trPr>
          <w:trHeight w:val="41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322B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11 C (zgodnie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810D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BB93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D3F0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7B7FDC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D4269E6" w14:textId="77777777" w:rsidTr="001F4228">
        <w:trPr>
          <w:trHeight w:val="42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026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DB83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234B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EC3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83E68A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BE56B97" w14:textId="77777777" w:rsidTr="0069127F">
        <w:trPr>
          <w:trHeight w:val="10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5671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16CB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5B17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68A3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FAE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1F4228" w:rsidRPr="001F4228" w14:paraId="5B1FAF68" w14:textId="77777777" w:rsidTr="0069127F">
        <w:trPr>
          <w:trHeight w:val="40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D88C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4023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sprawności oświetlenia awaryjnego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506D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4354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BBDCAF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C85B455" w14:textId="77777777" w:rsidTr="001F4228">
        <w:trPr>
          <w:trHeight w:val="45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90E8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F6AD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C3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950F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F932F2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7CB52C6" w14:textId="77777777" w:rsidTr="0069127F">
        <w:trPr>
          <w:trHeight w:val="4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3D25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8DC3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54C4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C03E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930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1F4228" w:rsidRPr="001F4228" w14:paraId="3651E4FE" w14:textId="77777777" w:rsidTr="0069127F">
        <w:trPr>
          <w:trHeight w:val="587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37109" w14:textId="1E1182B5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Łosińska 1                      </w:t>
            </w:r>
            <w:r w:rsidR="0069127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(5 letni)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450D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472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15.01.2026r.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F8C3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BF30D4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152CBB5" w14:textId="77777777" w:rsidTr="0069127F">
        <w:trPr>
          <w:trHeight w:val="397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2D9FE" w14:textId="77777777" w:rsidR="0069127F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PCK 3               </w:t>
            </w:r>
          </w:p>
          <w:p w14:paraId="7ECAA9BA" w14:textId="7B3B2AB8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536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1B88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122C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21F2EC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412779B" w14:textId="77777777" w:rsidTr="0069127F">
        <w:trPr>
          <w:trHeight w:val="403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DADC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838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F241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9391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330D97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93C8E7A" w14:textId="77777777" w:rsidTr="00751A33">
        <w:trPr>
          <w:trHeight w:val="409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279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27AC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37C5972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00C5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F66E3C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72FE41F" w14:textId="77777777" w:rsidTr="00751A33">
        <w:trPr>
          <w:trHeight w:val="402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32A19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Okradzionowska</w:t>
            </w:r>
            <w:proofErr w:type="spellEnd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29B                         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6E957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69E8F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15.01.2026r.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B8F5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B57ED1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FF8EFA7" w14:textId="77777777" w:rsidTr="00751A33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F65C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FF9DE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9FD0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E2D9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13817E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A912909" w14:textId="77777777" w:rsidTr="00751A33">
        <w:trPr>
          <w:trHeight w:val="54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0E962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A2869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kotłowni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1252C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F7DA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D84612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2D2C6C5" w14:textId="77777777" w:rsidTr="00751A33">
        <w:trPr>
          <w:trHeight w:val="40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DFF36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893B3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B1786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610C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F9F06B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327554F" w14:textId="77777777" w:rsidTr="00751A33">
        <w:trPr>
          <w:trHeight w:val="399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0574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Olkuska 4      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1CF7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094F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23.01.2026r.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FC34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413B58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7D08245" w14:textId="77777777" w:rsidTr="00751A33">
        <w:trPr>
          <w:trHeight w:val="404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06EB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A388F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95D1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4350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E7273C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FFEEBFE" w14:textId="77777777" w:rsidTr="001F4228">
        <w:trPr>
          <w:trHeight w:val="623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2256E7" w14:textId="2D418041" w:rsidR="001F4228" w:rsidRPr="001F4228" w:rsidRDefault="00751A33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Luty 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6C9A7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E6F543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AAEFE25" w14:textId="77777777" w:rsidTr="00751A33">
        <w:trPr>
          <w:trHeight w:val="38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B05A0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Św. Jakuba 13 (roczny)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B51F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4D8E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27.02.2026r.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335F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63B441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5FF790C" w14:textId="77777777" w:rsidTr="00751A33">
        <w:trPr>
          <w:trHeight w:val="26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88D3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F0EB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3523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32B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6B0C19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05C7974" w14:textId="77777777" w:rsidTr="00DE50FF">
        <w:trPr>
          <w:trHeight w:val="693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19BE02F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Kościelna 11</w:t>
            </w:r>
          </w:p>
          <w:p w14:paraId="14D3AE3C" w14:textId="13F44CC9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(zawiera 5 – letni i roczny 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E45A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działania przeciwpożarowego wyłącznika prądu (PWP)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81F26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28.02.2026r.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FAF1A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FFD3810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C2E0962" w14:textId="77777777" w:rsidTr="00DE50FF">
        <w:trPr>
          <w:trHeight w:val="279"/>
        </w:trPr>
        <w:tc>
          <w:tcPr>
            <w:tcW w:w="21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6AC4776" w14:textId="5FC271FD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E380F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Sprawność oświetlenia awaryjnego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96825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D4554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3F9AB51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D7E343D" w14:textId="77777777" w:rsidTr="00DE50FF">
        <w:trPr>
          <w:trHeight w:val="269"/>
        </w:trPr>
        <w:tc>
          <w:tcPr>
            <w:tcW w:w="21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D2ACEF6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2B5D2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5F5E7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79D18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4A29D6D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00A7828A" w14:textId="77777777" w:rsidTr="00DE50FF">
        <w:trPr>
          <w:trHeight w:val="401"/>
        </w:trPr>
        <w:tc>
          <w:tcPr>
            <w:tcW w:w="21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DA6F99A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262F0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A4A6F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6557A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269D1EF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023636A" w14:textId="77777777" w:rsidTr="00DE50FF">
        <w:trPr>
          <w:trHeight w:val="407"/>
        </w:trPr>
        <w:tc>
          <w:tcPr>
            <w:tcW w:w="21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78AE7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7E30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DB43F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8495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A02FFFD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C1DFE2E" w14:textId="77777777" w:rsidTr="00751A33">
        <w:trPr>
          <w:trHeight w:val="52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FA573" w14:textId="77777777" w:rsidR="00751A33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Młyńska 14a      </w:t>
            </w:r>
          </w:p>
          <w:p w14:paraId="78A9BB2C" w14:textId="6B4849AF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917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9EDC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CC9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CAA4B7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1F54936" w14:textId="77777777" w:rsidTr="00751A33">
        <w:trPr>
          <w:trHeight w:val="40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CFE6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B18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sprawności oświetlenia awaryjnego i ewakuacyjnego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E4D8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28.02.2026r.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1C9B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004C48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834371E" w14:textId="77777777" w:rsidTr="00751A33">
        <w:trPr>
          <w:trHeight w:val="414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67D5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3AC4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4FDD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864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8BE50F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87F2366" w14:textId="77777777" w:rsidTr="00751A33">
        <w:trPr>
          <w:trHeight w:val="39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3669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4AAB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4711B7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F796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B60B7F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722B7C3" w14:textId="77777777" w:rsidTr="00751A33">
        <w:trPr>
          <w:trHeight w:val="555"/>
        </w:trPr>
        <w:tc>
          <w:tcPr>
            <w:tcW w:w="81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7DECA1" w14:textId="33474C47" w:rsidR="001F4228" w:rsidRPr="001F4228" w:rsidRDefault="00751A33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arzec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978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E211B5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FFAE629" w14:textId="77777777" w:rsidTr="00751A33">
        <w:trPr>
          <w:trHeight w:val="40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E351F" w14:textId="77777777" w:rsidR="00751A33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Tężnia                </w:t>
            </w:r>
          </w:p>
          <w:p w14:paraId="69F0A80D" w14:textId="1069DBB4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BF05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0DA0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8375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0A11DA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88C272E" w14:textId="77777777" w:rsidTr="001F4228">
        <w:trPr>
          <w:trHeight w:val="39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C749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2439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8A7B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5F9F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EB3F35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988965D" w14:textId="77777777" w:rsidTr="00751A33">
        <w:trPr>
          <w:trHeight w:val="13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7D4D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E3B9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0DBC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7B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83F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1F4228" w:rsidRPr="001F4228" w14:paraId="76459029" w14:textId="77777777" w:rsidTr="00751A33">
        <w:trPr>
          <w:trHeight w:val="39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6EBC9" w14:textId="77777777" w:rsidR="00751A33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Rynek 2            </w:t>
            </w:r>
          </w:p>
          <w:p w14:paraId="17FD3C63" w14:textId="4524CB45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 (zawiera 5 – letni i roczny 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26A3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0DDE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DA34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FAEF6F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5879308" w14:textId="77777777" w:rsidTr="00751A33">
        <w:trPr>
          <w:trHeight w:val="27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86FB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21B2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80A3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DE88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0BE747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ACDA0EC" w14:textId="77777777" w:rsidTr="00751A33">
        <w:trPr>
          <w:trHeight w:val="40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9FE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24BE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ochrony przed porażeniem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6128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11DA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41A94D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F98C6AD" w14:textId="77777777" w:rsidTr="00751A33">
        <w:trPr>
          <w:trHeight w:val="40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3783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8BBC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80E7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0CBC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C060FC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62A3901" w14:textId="77777777" w:rsidTr="00751A33">
        <w:trPr>
          <w:trHeight w:val="40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A8BE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6DBF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ciągłości instalacji odgromowej oraz rezystancji uziomów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56B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7948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F8AAD6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6DA1F9B" w14:textId="77777777" w:rsidTr="00751A33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9C23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D870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sprawności oświetlenia awaryjnego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32FA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8E8E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7CB8C8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3BE44BC" w14:textId="77777777" w:rsidTr="00751A33">
        <w:trPr>
          <w:trHeight w:val="25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B692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Szalety Park Doliny (zawiera 5 – letni i roczny 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FF7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04D7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16.03.2026r.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8D00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420A74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9F81A11" w14:textId="77777777" w:rsidTr="00751A33">
        <w:trPr>
          <w:trHeight w:val="26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F900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2B1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Oświetlenie awaryjne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212C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8245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8268CE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080DF42" w14:textId="77777777" w:rsidTr="00751A33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CAEB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0A6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3324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BF3F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20AB9A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B0EA252" w14:textId="77777777" w:rsidTr="00751A33">
        <w:trPr>
          <w:trHeight w:val="25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1CB8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F11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3646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FF48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E1587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7BCA337" w14:textId="77777777" w:rsidTr="00751A33">
        <w:trPr>
          <w:trHeight w:val="7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5DA4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3183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sprawności instalacji odgromowej, uziomów i ciągłości uziemienia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450E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0180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8C70FF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0EF87E0" w14:textId="77777777" w:rsidTr="001F4228">
        <w:trPr>
          <w:trHeight w:val="39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E541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BD6E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06E1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CC3E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7B409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2B4D955" w14:textId="77777777" w:rsidTr="00751A33">
        <w:trPr>
          <w:trHeight w:val="4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C5DD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9B7A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88A9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9B0C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87A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1F4228" w:rsidRPr="001F4228" w14:paraId="09134071" w14:textId="77777777" w:rsidTr="00751A33">
        <w:trPr>
          <w:trHeight w:val="36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2516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Walcownia 28                    (zawiera 5 – letni i roczny 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A50E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FEDFB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29.03.2026r.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9975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58EF9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3E6743C" w14:textId="77777777" w:rsidTr="00751A33">
        <w:trPr>
          <w:trHeight w:val="39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BDD6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AF8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7BF34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1D28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3663AB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D987107" w14:textId="77777777" w:rsidTr="00751A33">
        <w:trPr>
          <w:trHeight w:val="41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61D2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8543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E41BC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3C1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E0C6C0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BC4564B" w14:textId="77777777" w:rsidTr="00751A33">
        <w:trPr>
          <w:trHeight w:val="39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4ED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3D29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33E79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77C4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078223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7224CDE" w14:textId="77777777" w:rsidTr="001F4228">
        <w:trPr>
          <w:trHeight w:val="540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2F4055" w14:textId="36547C68" w:rsidR="001F4228" w:rsidRPr="001F4228" w:rsidRDefault="00751A33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wiecień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3C27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A09056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F5DB0BA" w14:textId="77777777" w:rsidTr="001F4228">
        <w:trPr>
          <w:trHeight w:val="48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B967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Segment B I </w:t>
            </w:r>
            <w:proofErr w:type="spellStart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proofErr w:type="spellEnd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II piętro-Sikorskiego (roczny)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77D4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8E4C9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09.04.2026r.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DD68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3BB314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E584BD0" w14:textId="77777777" w:rsidTr="00B44703">
        <w:trPr>
          <w:trHeight w:val="4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1C42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F24A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8DC04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66B0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E15332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AC577BB" w14:textId="77777777" w:rsidTr="001F4228">
        <w:trPr>
          <w:trHeight w:val="52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152F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Segment B – przedszkole Sikorskie</w:t>
            </w: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79C1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EB6B6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09.04.2026r.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43AD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FD21D9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4703" w:rsidRPr="001F4228" w14:paraId="4439E41A" w14:textId="77777777" w:rsidTr="00B44703">
        <w:trPr>
          <w:trHeight w:val="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F06E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(roczny)</w:t>
            </w:r>
          </w:p>
        </w:tc>
        <w:tc>
          <w:tcPr>
            <w:tcW w:w="44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931E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CB235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66BB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C2FE39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91CA6D6" w14:textId="77777777" w:rsidTr="00B44703">
        <w:trPr>
          <w:trHeight w:val="37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09CA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Skrzynka z prądem w Parku Doliny Białej Przemszy                         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6790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DCA9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20.04.2026r.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22D3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B6E7F7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BE712F5" w14:textId="77777777" w:rsidTr="00B44703">
        <w:trPr>
          <w:trHeight w:val="42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938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61C1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0A0F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A17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30EDAA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E06B21C" w14:textId="77777777" w:rsidTr="001F4228">
        <w:trPr>
          <w:trHeight w:val="62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F161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11 B                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908A4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16096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20.04.2026r.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4A4F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AEA6A8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EC5AC50" w14:textId="77777777" w:rsidTr="00B44703">
        <w:trPr>
          <w:trHeight w:val="41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BC4E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EE690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3FFC7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7A0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8E6869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88FE422" w14:textId="77777777" w:rsidTr="00E522C5">
        <w:trPr>
          <w:trHeight w:val="41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05D1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Okradzionowska</w:t>
            </w:r>
            <w:proofErr w:type="spellEnd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29B  (5-letni)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280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ciągłość instalacji odgromowej oraz rezystancji uziomów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FB706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15.04.2026r.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2EDB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B35587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C701411" w14:textId="77777777" w:rsidTr="00E522C5">
        <w:trPr>
          <w:trHeight w:val="36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2FE5F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5E0B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A97D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0A26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763D85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EF5F2D6" w14:textId="77777777" w:rsidTr="00E522C5">
        <w:trPr>
          <w:trHeight w:val="26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EB76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FB5F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45087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C1F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95B4F1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812248A" w14:textId="77777777" w:rsidTr="00E522C5">
        <w:trPr>
          <w:trHeight w:val="40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A82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D952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stanu instalacji fotowoltaicznej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60961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F4B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A97AE9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1752C5A" w14:textId="77777777" w:rsidTr="00E522C5">
        <w:trPr>
          <w:trHeight w:val="54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0666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2D9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działania przeciwpożarowego wyłącznika prądu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kotłowni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23188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1CEA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8110EE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BE5B766" w14:textId="77777777" w:rsidTr="00E522C5">
        <w:trPr>
          <w:trHeight w:val="26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33454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55A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9748C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06C6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FDAE73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7EDE300" w14:textId="77777777" w:rsidTr="00E522C5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98C4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7AA4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5B625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996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DDFA5F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C37AC1C" w14:textId="77777777" w:rsidTr="001F4228">
        <w:trPr>
          <w:trHeight w:val="563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D73772" w14:textId="4BC8C665" w:rsidR="001F4228" w:rsidRPr="001F4228" w:rsidRDefault="00B44703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aj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7168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9A8650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BBE8BD1" w14:textId="77777777" w:rsidTr="001724A5">
        <w:trPr>
          <w:trHeight w:val="403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089280" w14:textId="77777777" w:rsidR="00E522C5" w:rsidRDefault="00E522C5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E2A36CC" w14:textId="77777777" w:rsidR="00E522C5" w:rsidRDefault="00E522C5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C8AA52C" w14:textId="30CD4704" w:rsidR="00E522C5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Mały Rynek 9               </w:t>
            </w:r>
          </w:p>
          <w:p w14:paraId="4ED2725B" w14:textId="6F81AB04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(5-letni)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F22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03D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EB10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D3B6C8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522C5" w:rsidRPr="001F4228" w14:paraId="187C925F" w14:textId="77777777" w:rsidTr="00E522C5">
        <w:trPr>
          <w:trHeight w:val="295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6D3F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wraz z otoczeniem budynku od strony frontu i podwórza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EBD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9B48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E6AD8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7D599D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F3FAB63" w14:textId="77777777" w:rsidTr="00E522C5">
        <w:trPr>
          <w:trHeight w:val="403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E080D3E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0EF5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AEB7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17.05.2026r.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9298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64AD0F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CC49AEE" w14:textId="77777777" w:rsidTr="00E522C5">
        <w:trPr>
          <w:trHeight w:val="40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89EC105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F9E4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8E6B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905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C553A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E49270B" w14:textId="77777777" w:rsidTr="00E522C5">
        <w:trPr>
          <w:trHeight w:val="38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787DF2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6C7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41792E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2A7C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37BC53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EE51962" w14:textId="77777777" w:rsidTr="00E522C5">
        <w:trPr>
          <w:trHeight w:val="44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E876F" w14:textId="77777777" w:rsidR="00E522C5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PCK 3                           </w:t>
            </w:r>
          </w:p>
          <w:p w14:paraId="176BB1F5" w14:textId="4CD47CA4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(5 - letni)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B92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8F88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2850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C66CD7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B7B2278" w14:textId="77777777" w:rsidTr="00E522C5">
        <w:trPr>
          <w:trHeight w:val="25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BA58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B3A9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6BF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17.05.2026r.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132D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778AC6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735ABD6" w14:textId="77777777" w:rsidTr="00E522C5">
        <w:trPr>
          <w:trHeight w:val="40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625C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B7A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A622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3769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CAA2AB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63C0460" w14:textId="77777777" w:rsidTr="00E522C5">
        <w:trPr>
          <w:trHeight w:val="40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E063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20F4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Badanie oświetlenia awaryjnego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DF3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CACC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7BC19F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0092D7C" w14:textId="77777777" w:rsidTr="00E522C5">
        <w:trPr>
          <w:trHeight w:val="25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097D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DD91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8E13D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CA3D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946E69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FF11832" w14:textId="77777777" w:rsidTr="001F4228">
        <w:trPr>
          <w:trHeight w:val="672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22C6D6" w14:textId="32AFF8C8" w:rsidR="001F4228" w:rsidRPr="001F4228" w:rsidRDefault="00E522C5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rwiec 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2E2F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B394AA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B910DAC" w14:textId="77777777" w:rsidTr="00896D4F">
        <w:trPr>
          <w:trHeight w:val="42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A0D02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9A  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CD36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F2509E3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  <w:p w14:paraId="12FA4F09" w14:textId="0842DD68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6CB83" w14:textId="777777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AAA1FC2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22BD" w:rsidRPr="001F4228" w14:paraId="552271CE" w14:textId="77777777" w:rsidTr="00896D4F">
        <w:trPr>
          <w:trHeight w:val="54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6622A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0C790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4C525" w14:textId="44926477" w:rsidR="00E622BD" w:rsidRPr="001F4228" w:rsidRDefault="00E622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CA26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036E601" w14:textId="77777777" w:rsidR="00E622BD" w:rsidRPr="001F4228" w:rsidRDefault="00E622BD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1AA37A2" w14:textId="77777777" w:rsidTr="00D959D0">
        <w:trPr>
          <w:trHeight w:val="54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C39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13 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FE18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BCCF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1E54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3F6E48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63D48B9" w14:textId="77777777" w:rsidTr="00D959D0">
        <w:trPr>
          <w:trHeight w:val="49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50FD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DDFB6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29D1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28E0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61F34E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791F6F6" w14:textId="77777777" w:rsidTr="00D959D0">
        <w:trPr>
          <w:trHeight w:val="45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BD3F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Kozłowska 16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0C1F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3E02E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1965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DF1FD5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13C06BD" w14:textId="77777777" w:rsidTr="00D959D0">
        <w:trPr>
          <w:trHeight w:val="39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BFFD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328C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5071A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C3D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37A2DC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A84BE4F" w14:textId="77777777" w:rsidTr="00D959D0">
        <w:trPr>
          <w:trHeight w:val="5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49A4" w14:textId="77777777" w:rsidR="00673FBD" w:rsidRDefault="00673FB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6DB3E79" w14:textId="68D8B994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Walcownia 16 mieszkania 1,2,3 oraz 5,6                                  (zawiera 5 – letni i roczny zgodnie z  art. 62 ust. 1 pkt 1 jak i pkt 2 ustawy – Prawo budowlane)</w:t>
            </w:r>
            <w:r w:rsidR="00D959D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`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A28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80684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CD44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BD80D5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0F8B368" w14:textId="77777777" w:rsidTr="00D959D0">
        <w:trPr>
          <w:trHeight w:val="55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D8A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482F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ciągłości instalacji odgromowej oraz rezystancji uziemienia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B0F57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6340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AC7E06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546B2DF" w14:textId="77777777" w:rsidTr="00D959D0">
        <w:trPr>
          <w:trHeight w:val="54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7993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87A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F82C3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4827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8CDABD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F064BE8" w14:textId="77777777" w:rsidTr="00BA281E">
        <w:trPr>
          <w:trHeight w:val="55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8E55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2E34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zabezpieczeń różnicowoprądowych (RCD) -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Mieszkanie 1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26800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4B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4B496B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A281E" w:rsidRPr="001F4228" w14:paraId="3BDEF1A8" w14:textId="77777777" w:rsidTr="00513F57">
        <w:trPr>
          <w:trHeight w:val="403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862439A" w14:textId="2CC83C65" w:rsidR="00BA281E" w:rsidRDefault="00BA281E" w:rsidP="00BA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281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Walcownia 16/4</w:t>
            </w:r>
          </w:p>
          <w:p w14:paraId="2B5B0A54" w14:textId="6FC6CAE2" w:rsidR="00BA281E" w:rsidRPr="00BA281E" w:rsidRDefault="00BA281E" w:rsidP="00BA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281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(roczny)</w:t>
            </w:r>
          </w:p>
          <w:p w14:paraId="5EA80B4F" w14:textId="77777777" w:rsidR="00BA281E" w:rsidRPr="00BA281E" w:rsidRDefault="00BA281E" w:rsidP="00BA28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539585F" w14:textId="77777777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FF40E" w14:textId="06B9B435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281E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D4271C4" w14:textId="35FF71FA" w:rsidR="00BA281E" w:rsidRPr="001F4228" w:rsidRDefault="00BA281E" w:rsidP="00BA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13EA" w14:textId="63CA0D82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vMerge w:val="restart"/>
            <w:vAlign w:val="center"/>
            <w:hideMark/>
          </w:tcPr>
          <w:p w14:paraId="7BEFDC2F" w14:textId="77777777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A281E" w:rsidRPr="001F4228" w14:paraId="0C0546F7" w14:textId="77777777" w:rsidTr="00513F57">
        <w:trPr>
          <w:trHeight w:val="253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95649D" w14:textId="77777777" w:rsidR="00BA281E" w:rsidRPr="00BA281E" w:rsidRDefault="00BA281E" w:rsidP="00BA28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41BADF" w14:textId="0543E179" w:rsidR="00BA281E" w:rsidRPr="00BA281E" w:rsidRDefault="00BA281E" w:rsidP="00BA281E">
            <w:pPr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A281E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7CAABCB3" w14:textId="77777777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160801" w14:textId="77777777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7" w:type="dxa"/>
            <w:vMerge/>
            <w:vAlign w:val="center"/>
          </w:tcPr>
          <w:p w14:paraId="113DD446" w14:textId="77777777" w:rsidR="00BA281E" w:rsidRPr="001F4228" w:rsidRDefault="00BA281E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0EA3314" w14:textId="77777777" w:rsidTr="00D959D0">
        <w:trPr>
          <w:trHeight w:val="55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99A2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Olkuska 40 (roczny)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C18D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08E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29.06.2026r.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67B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8383F8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E86D756" w14:textId="77777777" w:rsidTr="00D959D0">
        <w:trPr>
          <w:trHeight w:val="6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B6449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CCF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2D233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39B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12EE15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F19B4D1" w14:textId="77777777" w:rsidTr="00D959D0">
        <w:trPr>
          <w:trHeight w:val="376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E23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Walcownia 18 (roczny)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57DD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98D9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30.06.2026r.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276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A15BDA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26EEF39" w14:textId="77777777" w:rsidTr="00D959D0">
        <w:trPr>
          <w:trHeight w:val="395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A872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92B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8D905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7231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83ACA4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0D359ED" w14:textId="77777777" w:rsidTr="00D959D0">
        <w:trPr>
          <w:trHeight w:val="41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11AD" w14:textId="77777777" w:rsidR="00D959D0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Walcownia 18/7          </w:t>
            </w:r>
          </w:p>
          <w:p w14:paraId="74DC17A0" w14:textId="72AB59F5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(5-letni)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33EA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6677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30.06.2026r.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B932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F07FF2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B0BAFDA" w14:textId="77777777" w:rsidTr="00D959D0">
        <w:trPr>
          <w:trHeight w:val="393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2D90C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7ADD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49D2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5DD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722545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B580560" w14:textId="77777777" w:rsidTr="001F4228">
        <w:trPr>
          <w:trHeight w:val="660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663B67" w14:textId="10419564" w:rsidR="001F4228" w:rsidRPr="001F4228" w:rsidRDefault="00D959D0" w:rsidP="00D95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L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ipiec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1A5F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D492D3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5FE6642" w14:textId="77777777" w:rsidTr="00D959D0">
        <w:trPr>
          <w:trHeight w:val="43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2F36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Segment B I </w:t>
            </w:r>
            <w:proofErr w:type="spellStart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proofErr w:type="spellEnd"/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II piętro-  Sikorskiego      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1048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A83CF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02.07.2026r.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810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4FFD79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7F233C0" w14:textId="77777777" w:rsidTr="00D959D0">
        <w:trPr>
          <w:trHeight w:val="25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5B53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4C9A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rezystancji izolacji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58F5F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1E17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092B9E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E0BB7A3" w14:textId="77777777" w:rsidTr="00D959D0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8110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165C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stanu instalacji odgromowej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5A33E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BA3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0A3269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5A39699" w14:textId="77777777" w:rsidTr="00D959D0">
        <w:trPr>
          <w:trHeight w:val="41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0A0B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23E4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okresowe sprawności oświetlenia awaryjnego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CD2E8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E8BA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9BFFEE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5436F30" w14:textId="77777777" w:rsidTr="00D959D0">
        <w:trPr>
          <w:trHeight w:val="54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556E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2D3C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332B3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CF5F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84474D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BE242C1" w14:textId="77777777" w:rsidTr="00D959D0">
        <w:trPr>
          <w:trHeight w:val="39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D73C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965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D7B43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A752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5DE4AA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B57DFAB" w14:textId="77777777" w:rsidTr="00D959D0">
        <w:trPr>
          <w:trHeight w:val="41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8833" w14:textId="77777777" w:rsidR="00D959D0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Segment B przedszkole, Sikorskiego          </w:t>
            </w:r>
          </w:p>
          <w:p w14:paraId="1227C367" w14:textId="0EE4936D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FFF5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46E6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D04B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A69E3D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9724D03" w14:textId="77777777" w:rsidTr="00D959D0">
        <w:trPr>
          <w:trHeight w:val="39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C6E2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94A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61A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7D44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946BA9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E2CB9EE" w14:textId="77777777" w:rsidTr="00D959D0">
        <w:trPr>
          <w:trHeight w:val="40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1517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F393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Badania stanu instalacji odgromowej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2DDE8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7C87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702B6D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FE1FAFB" w14:textId="77777777" w:rsidTr="00D959D0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5D44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D622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okresowe sprawności oświetlenia awaryjnego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ABD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02.07.2026r.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C34F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B09BE9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A2C35B3" w14:textId="77777777" w:rsidTr="00D959D0">
        <w:trPr>
          <w:trHeight w:val="41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62B4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103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19FD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2F83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289591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FD8C86F" w14:textId="77777777" w:rsidTr="00D959D0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50C8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F16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3DBC2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2706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05DF6F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BFADEDE" w14:textId="77777777" w:rsidTr="00D959D0">
        <w:trPr>
          <w:trHeight w:val="39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2EA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09ED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BF9DC8B" w14:textId="77777777" w:rsidR="001F4228" w:rsidRPr="001F4228" w:rsidRDefault="001F4228" w:rsidP="001F422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E9CC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92282A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5E6C3FF" w14:textId="77777777" w:rsidTr="00D959D0">
        <w:trPr>
          <w:trHeight w:val="40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4A5D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Fabryczna 11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B15F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zabezpieczeń różnicowoprądowych (RCD)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A6EEB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14.07.2026r.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1971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4AEEDD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0A585A8" w14:textId="77777777" w:rsidTr="00D959D0">
        <w:trPr>
          <w:trHeight w:val="40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9C94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B991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1DABB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CF4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589559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E4FE7A7" w14:textId="77777777" w:rsidTr="001F4228">
        <w:trPr>
          <w:trHeight w:val="683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0544EA" w14:textId="58255F35" w:rsidR="001F4228" w:rsidRPr="001F4228" w:rsidRDefault="00D959D0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rzesień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986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BB087A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589AA90" w14:textId="77777777" w:rsidTr="00267E6D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EC7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Rynek 2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D31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602FB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01.09.2026r.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3083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0303C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771DFBE" w14:textId="77777777" w:rsidTr="00267E6D">
        <w:trPr>
          <w:trHeight w:val="39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10EC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Mały Rynek 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1F36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alarmowy (Sygnalizacji Napadu i Włamania)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1526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08.09.2026r.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F3A2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1D5F05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A0FA3CE" w14:textId="77777777" w:rsidTr="00267E6D">
        <w:trPr>
          <w:trHeight w:val="41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1675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Segment B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592D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alarmowy (Sygnalizacji Napadu i Włamania)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E80E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17.09.2026r.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4902A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E1B581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0211638" w14:textId="77777777" w:rsidTr="00267E6D">
        <w:trPr>
          <w:trHeight w:val="403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BDED2" w14:textId="42B0005A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Michałów 6                   (zawiera 5 – letni i roczny zgodnie z  </w:t>
            </w:r>
            <w:r w:rsidR="00267E6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art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FCE9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6634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29.09.2026r.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945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D444BE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BF9D8DF" w14:textId="77777777" w:rsidTr="00267E6D">
        <w:trPr>
          <w:trHeight w:val="39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E1D6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A3DE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ochrony przed porażeniem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58E1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88C6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1DE65F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BB1C7D5" w14:textId="77777777" w:rsidTr="00267E6D">
        <w:trPr>
          <w:trHeight w:val="27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A25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D36A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oświetlenia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658B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7542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D9441E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7125A71" w14:textId="77777777" w:rsidTr="00267E6D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330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FA9E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Badania oświetlenia awaryjnego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4F81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DAE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26490C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6477A3F" w14:textId="77777777" w:rsidTr="00267E6D">
        <w:trPr>
          <w:trHeight w:val="41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44D1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EFD8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sprawności ciągłości instalacji odgromowej i uziomów 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0A2B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E562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E2C586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5E76D74" w14:textId="77777777" w:rsidTr="00267E6D">
        <w:trPr>
          <w:trHeight w:val="40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9AA2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0E61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zabezpieczeń różnicowoprądowych (RCD)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7F75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AF8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612AF9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1954407" w14:textId="77777777" w:rsidTr="00267E6D">
        <w:trPr>
          <w:trHeight w:val="40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ED20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D57E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1F33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449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1D05D3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2155AF8A" w14:textId="77777777" w:rsidTr="00267E6D">
        <w:trPr>
          <w:trHeight w:val="41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F7EB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DD9F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zasilania systemu wentylacji mechanicznej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0F47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F312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F6C85C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A539AA0" w14:textId="77777777" w:rsidTr="00267E6D">
        <w:trPr>
          <w:trHeight w:val="26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BFF1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6443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4B03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7EDB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DB7415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8BD5167" w14:textId="77777777" w:rsidTr="00267E6D">
        <w:trPr>
          <w:trHeight w:val="705"/>
        </w:trPr>
        <w:tc>
          <w:tcPr>
            <w:tcW w:w="81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5FC00C" w14:textId="511CCAA7" w:rsidR="001F4228" w:rsidRPr="001F4228" w:rsidRDefault="00267E6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aździernik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7509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8BCA97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67CA6FF" w14:textId="77777777" w:rsidTr="004E622A">
        <w:trPr>
          <w:trHeight w:val="25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8D847" w14:textId="760E8EAA" w:rsidR="001F4228" w:rsidRPr="001F4228" w:rsidRDefault="00267E6D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`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Rynek 1                           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DD90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B0AEE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15.10.2026r.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F00D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E6FEA4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AD3D3B9" w14:textId="77777777" w:rsidTr="004E622A">
        <w:trPr>
          <w:trHeight w:val="26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F7DB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EA1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E4911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608B1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83816E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5DA0052" w14:textId="77777777" w:rsidTr="004E622A">
        <w:trPr>
          <w:trHeight w:val="41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E0E7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E2B3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D74F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DDFB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D3CF04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9EF77CF" w14:textId="77777777" w:rsidTr="004E622A">
        <w:trPr>
          <w:trHeight w:val="39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B3CA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BDF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ciągłości instalacji odgromowej oraz rezystancji uziomów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E8AC5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E597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27B296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3C774AA" w14:textId="77777777" w:rsidTr="004E622A">
        <w:trPr>
          <w:trHeight w:val="26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4068F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Łosińska 1                    (zawiera 5 – letni i roczny zgodnie z  art. 62 ust. 1 pkt 1 jak i pkt 2 ustawy – Prawo budowlane)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C64E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8D528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191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00DCDAE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EE75168" w14:textId="77777777" w:rsidTr="004E622A">
        <w:trPr>
          <w:trHeight w:val="40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36AF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3B9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instalacji odgromowej,  uziomów, ciągłości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8DBDA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0A589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8CB6B7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3705AAC" w14:textId="77777777" w:rsidTr="004E622A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E90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BBF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6D290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C45D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4C20CC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57CCDFF" w14:textId="77777777" w:rsidTr="00B943E0">
        <w:trPr>
          <w:trHeight w:val="39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5D6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78A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9AED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60D3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13566C1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3EB8CD3" w14:textId="77777777" w:rsidTr="00B943E0">
        <w:trPr>
          <w:trHeight w:val="41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7993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D83E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7A4C9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86F7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1389CF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465C7F6" w14:textId="77777777" w:rsidTr="00B943E0">
        <w:trPr>
          <w:trHeight w:val="2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6383D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8883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Oświetlenie awaryjne</w:t>
            </w: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DF91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159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22A1B4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F90A24E" w14:textId="77777777" w:rsidTr="00B943E0">
        <w:trPr>
          <w:trHeight w:val="401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538E" w14:textId="77777777" w:rsidR="00B943E0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PCK 9                 </w:t>
            </w:r>
          </w:p>
          <w:p w14:paraId="2FB51FA8" w14:textId="6E433BE9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(zawiera 5 – letni i roczny zgodnie z  art. 62 ust. 1 pkt 1 jak i pkt 2 ustawy – Prawo budowlane 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2A1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rezystancji izolacji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37F88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5CE5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6D090E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7155867E" w14:textId="77777777" w:rsidTr="00B943E0">
        <w:trPr>
          <w:trHeight w:val="407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F4C33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B0D6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Badania ochrony przed porażeniem 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0E103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017AC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25E8DC3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3245D3E2" w14:textId="77777777" w:rsidTr="00B943E0">
        <w:trPr>
          <w:trHeight w:val="541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57F6A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5F83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D0802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D25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0218DB2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04CB5DB" w14:textId="77777777" w:rsidTr="00B943E0">
        <w:trPr>
          <w:trHeight w:val="40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E665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A86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8EF84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626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7E611FB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6BA93E63" w14:textId="77777777" w:rsidTr="00B943E0">
        <w:trPr>
          <w:trHeight w:val="39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6D2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156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Oświetlenie awaryjne 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FC19DE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2BB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548E2188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066D5A12" w14:textId="77777777" w:rsidTr="00B943E0">
        <w:trPr>
          <w:trHeight w:val="40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B4FF4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7245F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Ocena stanu technicznego instalacji elektrycznej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CB3D7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8F64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38E6B9A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152BF277" w14:textId="77777777" w:rsidTr="001F4228">
        <w:trPr>
          <w:trHeight w:val="600"/>
        </w:trPr>
        <w:tc>
          <w:tcPr>
            <w:tcW w:w="8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251791" w14:textId="026650D4" w:rsidR="001F4228" w:rsidRPr="001F4228" w:rsidRDefault="00B943E0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rudzień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1F4228"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E3E7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B04E0AC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5A82A3C6" w14:textId="77777777" w:rsidTr="00AB4496">
        <w:trPr>
          <w:trHeight w:val="5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179C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Rynek 2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88F4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działania przeciwpożarowego wyłącznika prądu (PWP)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8D1FB5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23.12.2026r.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5432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0D8DC27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228" w:rsidRPr="001F4228" w14:paraId="45872C19" w14:textId="77777777" w:rsidTr="00AB4496">
        <w:trPr>
          <w:trHeight w:val="39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1DA70" w14:textId="77777777" w:rsidR="001F4228" w:rsidRPr="001F4228" w:rsidRDefault="001F4228" w:rsidP="00AB4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Mały Rynek 9 (roczny)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5F006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Badania sprawności zabezpieczeń różnicowoprądowych (RCD)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60140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23.12.2026r.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AE3D3" w14:textId="77777777" w:rsidR="001F4228" w:rsidRPr="001F4228" w:rsidRDefault="001F4228" w:rsidP="001F4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272B499" w14:textId="77777777" w:rsidR="001F4228" w:rsidRPr="001F4228" w:rsidRDefault="001F4228" w:rsidP="001F422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A730AA2" w14:textId="77777777" w:rsidR="001364CC" w:rsidRDefault="001364CC" w:rsidP="00DE6E91">
      <w:pPr>
        <w:jc w:val="both"/>
        <w:rPr>
          <w:rFonts w:ascii="Times New Roman" w:hAnsi="Times New Roman"/>
          <w:b/>
        </w:rPr>
      </w:pPr>
    </w:p>
    <w:p w14:paraId="20D42C19" w14:textId="77777777" w:rsidR="001364CC" w:rsidRDefault="001364CC" w:rsidP="00DE6E91">
      <w:pPr>
        <w:jc w:val="both"/>
        <w:rPr>
          <w:rFonts w:ascii="Times New Roman" w:hAnsi="Times New Roman"/>
          <w:b/>
        </w:rPr>
      </w:pPr>
    </w:p>
    <w:p w14:paraId="4FBE0C0B" w14:textId="0D6D2276" w:rsidR="007F36A9" w:rsidRPr="00E613AE" w:rsidRDefault="001724A5" w:rsidP="001724A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2. </w:t>
      </w:r>
      <w:r w:rsidR="007F36A9" w:rsidRPr="00E613AE">
        <w:rPr>
          <w:rFonts w:ascii="Times New Roman" w:hAnsi="Times New Roman"/>
          <w:b/>
        </w:rPr>
        <w:t>Przeglądy kwartalne i roczne systemu napowietrzania dróg ewakuacyjnych (oddymiania)</w:t>
      </w:r>
    </w:p>
    <w:tbl>
      <w:tblPr>
        <w:tblW w:w="9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604"/>
        <w:gridCol w:w="1315"/>
        <w:gridCol w:w="2937"/>
      </w:tblGrid>
      <w:tr w:rsidR="00137E45" w:rsidRPr="00137E45" w14:paraId="5A3EBDBC" w14:textId="77777777" w:rsidTr="00137E45">
        <w:trPr>
          <w:trHeight w:val="390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558BD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</w:t>
            </w:r>
          </w:p>
        </w:tc>
        <w:tc>
          <w:tcPr>
            <w:tcW w:w="3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A5221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przeglądu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CDA56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Termin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4F9CCB" w14:textId="77777777" w:rsidR="00137E45" w:rsidRPr="00137E45" w:rsidRDefault="00137E45" w:rsidP="00137E45">
            <w:pPr>
              <w:spacing w:after="0" w:line="240" w:lineRule="auto"/>
              <w:ind w:right="253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3892E99E" w14:textId="77777777" w:rsidTr="00137E45">
        <w:trPr>
          <w:trHeight w:val="315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B2A9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FBD4F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7E5738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wykonania</w:t>
            </w:r>
          </w:p>
        </w:tc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B8D0" w14:textId="7BF7484D" w:rsidR="00137E45" w:rsidRPr="00137E45" w:rsidRDefault="00320A1B" w:rsidP="00320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Cena jednostkowa za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1F4228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przegląd netto</w:t>
            </w:r>
          </w:p>
        </w:tc>
      </w:tr>
      <w:tr w:rsidR="00137E45" w:rsidRPr="00137E45" w14:paraId="3531DB49" w14:textId="77777777" w:rsidTr="00137E45">
        <w:trPr>
          <w:trHeight w:val="66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92C02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Segment B I </w:t>
            </w:r>
            <w:proofErr w:type="spellStart"/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proofErr w:type="spellEnd"/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II piętro-Sikorskiego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523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F1142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  <w:tc>
          <w:tcPr>
            <w:tcW w:w="2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FB00E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508E2DB3" w14:textId="77777777" w:rsidTr="00137E45">
        <w:trPr>
          <w:trHeight w:val="57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63CF6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811B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EDD8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–26.05.2026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1DB4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07EC5EBB" w14:textId="77777777" w:rsidTr="00137E45">
        <w:trPr>
          <w:trHeight w:val="56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C056A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8A81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8592D5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27.08.2026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EE7B8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610C3738" w14:textId="77777777" w:rsidTr="00137E45">
        <w:trPr>
          <w:trHeight w:val="4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DA18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8D79FF" w14:textId="77777777" w:rsidR="00137E45" w:rsidRPr="00137E45" w:rsidRDefault="00137E45" w:rsidP="00137E4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8E1D14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27.11.2026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6241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01910D32" w14:textId="77777777" w:rsidTr="00137E45">
        <w:trPr>
          <w:trHeight w:val="62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F56DB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3DE88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CF27A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21D1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70206309" w14:textId="77777777" w:rsidTr="00137E45">
        <w:trPr>
          <w:trHeight w:val="6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3E878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Młyńska 14a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A0B00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4E850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171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442BFCF2" w14:textId="77777777" w:rsidTr="00137E45">
        <w:trPr>
          <w:trHeight w:val="68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4569E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B91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DBC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–26.05.2026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4707A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BD3C86" w:rsidRPr="00137E45" w14:paraId="727A8B46" w14:textId="77777777" w:rsidTr="00BD3C86">
        <w:trPr>
          <w:trHeight w:val="63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396DE" w14:textId="77777777" w:rsidR="00BD3C86" w:rsidRPr="00137E45" w:rsidRDefault="00BD3C86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C360" w14:textId="77777777" w:rsidR="00BD3C86" w:rsidRPr="00137E45" w:rsidRDefault="00BD3C86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15F6" w14:textId="77777777" w:rsidR="00BD3C86" w:rsidRPr="00137E45" w:rsidRDefault="00BD3C86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27.08.2026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6145" w14:textId="77777777" w:rsidR="00BD3C86" w:rsidRPr="00137E45" w:rsidRDefault="00BD3C86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404EE842" w14:textId="77777777" w:rsidTr="002D430E">
        <w:trPr>
          <w:trHeight w:val="4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DFC41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034551" w14:textId="77777777" w:rsidR="00137E45" w:rsidRPr="00137E45" w:rsidRDefault="00137E45" w:rsidP="00137E4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7305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27.11.2026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6FDAE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4E712D4E" w14:textId="77777777" w:rsidTr="00137E45">
        <w:trPr>
          <w:trHeight w:val="61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102F8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BB984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B320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CB8FB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2A9CE9AA" w14:textId="77777777" w:rsidTr="00137E45">
        <w:trPr>
          <w:trHeight w:val="69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E50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Kościelna 11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E3C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napowietrzania dróg ewakuacyjnych (oddymiania):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D7B7A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kw. – 27.02.2026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6A88D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574F37E4" w14:textId="77777777" w:rsidTr="00137E45">
        <w:trPr>
          <w:trHeight w:val="623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CF154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303C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Kwartalnie tj. 4 razy w roku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5929B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 kw. –26.06.2026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3AEC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026F5841" w14:textId="77777777" w:rsidTr="002D430E">
        <w:trPr>
          <w:trHeight w:val="649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FFC99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3A19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3939D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III kw. – 02.09.2026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2F9A0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0FA03D2A" w14:textId="77777777" w:rsidTr="002D430E">
        <w:trPr>
          <w:trHeight w:val="17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6319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7B7361" w14:textId="77777777" w:rsidR="00137E45" w:rsidRPr="00137E45" w:rsidRDefault="00137E45" w:rsidP="00137E4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60AAD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IV kw. – 02.12.2026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4D23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37E45" w:rsidRPr="00137E45" w14:paraId="7D117061" w14:textId="77777777" w:rsidTr="00137E45">
        <w:trPr>
          <w:trHeight w:val="444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73B11" w14:textId="77777777" w:rsidR="00137E45" w:rsidRPr="00137E45" w:rsidRDefault="00137E45" w:rsidP="00137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1C79A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Roczny przegląd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4346" w14:textId="77777777" w:rsidR="00137E45" w:rsidRPr="00137E45" w:rsidRDefault="00137E45" w:rsidP="00137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18.12.2026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8B696" w14:textId="77777777" w:rsidR="00137E45" w:rsidRPr="00137E45" w:rsidRDefault="00137E45" w:rsidP="00137E45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E4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27F09C30" w14:textId="77777777" w:rsidR="007F36A9" w:rsidRPr="00B938E6" w:rsidRDefault="007F36A9" w:rsidP="00137E45">
      <w:pPr>
        <w:tabs>
          <w:tab w:val="left" w:pos="2410"/>
        </w:tabs>
        <w:spacing w:line="276" w:lineRule="auto"/>
        <w:rPr>
          <w:rFonts w:ascii="Times New Roman" w:hAnsi="Times New Roman"/>
          <w:color w:val="FF0000"/>
        </w:rPr>
      </w:pPr>
    </w:p>
    <w:p w14:paraId="40AAEC49" w14:textId="77777777" w:rsidR="005266E9" w:rsidRPr="005266E9" w:rsidRDefault="005266E9" w:rsidP="00F35142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  <w:t>Wykonanie przeglądów będzie się odbywało</w:t>
      </w: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 zgodnie z wyznaczonymi datami zawartymi w wykazie przeglądów elektrycznych.</w:t>
      </w:r>
    </w:p>
    <w:p w14:paraId="78378202" w14:textId="77777777" w:rsidR="005266E9" w:rsidRPr="005266E9" w:rsidRDefault="005266E9" w:rsidP="005266E9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Protokoły z przeglądów winny być dostarczone do Miejskiego Zarządu Budynków Komunalnych w Sławkowie przy ulicy Łosińska 1 w terminie 7 dni od wykonania. </w:t>
      </w:r>
    </w:p>
    <w:p w14:paraId="04839099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464EF973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dostarczy aktualne uprawnienia do wykonywania usług objętych zamówieniem: świadectwo kwalifikacyjne na stanowisku eksploatacji oraz dozoru w zakresie obsługi, konserwacji remontu lub naprawy montażu lub demontażu </w:t>
      </w:r>
      <w:proofErr w:type="spellStart"/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kontrolno</w:t>
      </w:r>
      <w:proofErr w:type="spellEnd"/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pomiarowym dla następujących rodzajów urządzeń, instalacji i sieci:</w:t>
      </w:r>
    </w:p>
    <w:p w14:paraId="5EC48FA3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urządzenia prądotwórcze przyłączone do sieci przesyłowej lub dystrybucyjnej bez względu na wysokość napięcia</w:t>
      </w:r>
    </w:p>
    <w:p w14:paraId="35C73868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urządzenia sieci i instalacje o napięciu wyższym niż 1 </w:t>
      </w:r>
      <w:proofErr w:type="spellStart"/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kV</w:t>
      </w:r>
      <w:proofErr w:type="spellEnd"/>
    </w:p>
    <w:p w14:paraId="36CBBF9B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zespoły prądotwórcze o mocy wyższej niż 50 kW</w:t>
      </w:r>
    </w:p>
    <w:p w14:paraId="41825E46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urządzenia elektrotermiczne</w:t>
      </w:r>
    </w:p>
    <w:p w14:paraId="4167696A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sieci elektrycznego oświetlenia ulicznego</w:t>
      </w:r>
    </w:p>
    <w:p w14:paraId="3743D403" w14:textId="77777777" w:rsidR="005266E9" w:rsidRPr="005266E9" w:rsidRDefault="005266E9" w:rsidP="005266E9">
      <w:pPr>
        <w:numPr>
          <w:ilvl w:val="1"/>
          <w:numId w:val="9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aparatura kontrolno-pomiarowa oraz urządzenia i instalacje automatycznej regulacji, sterowania i zabezpieczeń urządzeń i instalacji wymienionych powyżej</w:t>
      </w:r>
    </w:p>
    <w:p w14:paraId="40293C06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Wykonawca dostarczy aktualne zaświadczenie lekarskie do wykonywania prac powyżej 3 metrów</w:t>
      </w:r>
    </w:p>
    <w:p w14:paraId="08F09038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Wymagane dokumenty mogą być przedłożone w formie oryginału lub kopii poświadczonej za zgodność z oryginałem przez wykonawcę (wykonawca na kserokopii składa własnoręczny podpis poprzedzony dopiskiem „za zgodność”). </w:t>
      </w:r>
    </w:p>
    <w:p w14:paraId="0FD96640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23457AE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Ceny podane w formularzu oferty będą obowiązywać w 2026 r. i nie ulegną dla Zamawiającego zmianie. </w:t>
      </w:r>
    </w:p>
    <w:p w14:paraId="4D146B0D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35BBE72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obowiązany jest wypełnić obowiązki informacyjne przewidziane w art. 13 lub art. 14 RODO wobec osób fizycznych, od których dane osobowe bezpośrednio lub pośrednio pozyskał w celu ubiegania się o udzielenie zamówienia publicznego w niniejszym postępowaniu. </w:t>
      </w:r>
    </w:p>
    <w:p w14:paraId="11A5E466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437CD63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BCF0883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TERMIN I MIEJSCE WYKONANIA ZAMÓWIENIA</w:t>
      </w:r>
    </w:p>
    <w:p w14:paraId="20865040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Termin realizacji przedmiotu zamówienia: do 23.12.2026 r. </w:t>
      </w:r>
    </w:p>
    <w:p w14:paraId="5BC165BD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Miejsce dostawy faktury (rachunku) oraz protokołów: Miejski Zarząd Budynków Komunalnych w Sławkowie, 41-260 Sławków, ul. Łosińska 1.</w:t>
      </w:r>
    </w:p>
    <w:p w14:paraId="2568F03C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5D4E8D7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13F55F0B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SPOSOBU OBLICZENIA CENY</w:t>
      </w:r>
    </w:p>
    <w:p w14:paraId="474BE1CB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Cena ma zawierać wszelkie koszty związane z wykonaniem przeglądów, cena netto i brutto                       oraz podatek VAT (jeśli taki występuje). </w:t>
      </w:r>
    </w:p>
    <w:p w14:paraId="4521F672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formularzu oferty Wykonawca wskaże cenę jednostkową za każdy przegląd w każdym miesiącu w którym będą wykonywane przeglądy oraz łączną cenę za wszystkie przeglądy za cały rok.  </w:t>
      </w:r>
    </w:p>
    <w:p w14:paraId="42F85B1D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4CCC505C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Podane ceny będą </w:t>
      </w: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niezmienne przez cały okres zamówienia, tj. do 31 grudzień 2026 r. </w:t>
      </w:r>
    </w:p>
    <w:p w14:paraId="5533B7AE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3C1A7B62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KRYTERIUM WYBORU OFERTY:</w:t>
      </w:r>
    </w:p>
    <w:p w14:paraId="5EFC2B07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Przy wyborze najkorzystniejszej oferty, Zamawiający będzie kierował się następującym kryterium: cena ofertowa. Cena ofertowa winna obejmować wszystkie koszty związane                           z realizacją zamówienia. Za cenę oferty uważać się będzie cenę brutto (łącznie z należnym podatkiem VAT). W przypadku osób fizycznych nieprowadzących działalności gospodarczej cena winna zawierać należne składki na ubezpieczenia społeczne, ubezpieczenie zdrowotne, zaliczkę na podatek dochodowy i inne obligatoryjne obciążenia potrącane z wynagrodzenia brutto bądź dodatkowo obciążające pracodawcę, które zamawiający, zgodnie                                                z obowiązującymi przepisami, zobowiązany byłby naliczyć i odprowadzić (charakter umowy - umowa zlecenie). W przypadku ofert z ta samą kwotą, decydować będzie doświadczenie.</w:t>
      </w:r>
    </w:p>
    <w:p w14:paraId="0B0B8FE0" w14:textId="77777777" w:rsidR="005266E9" w:rsidRPr="005266E9" w:rsidRDefault="005266E9" w:rsidP="005266E9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59B402B" w14:textId="77777777" w:rsidR="005266E9" w:rsidRPr="005266E9" w:rsidRDefault="005266E9" w:rsidP="005266E9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F98983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TERMIN, FORMA I MIEJSCE ZŁOŻENIA OFERTY:</w:t>
      </w:r>
    </w:p>
    <w:p w14:paraId="631D42E6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Ofertę należy złożyć w terminie do dnia </w:t>
      </w: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30.12.2025 roku do godz. 10</w:t>
      </w: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49C695D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Ofertę należy złożyć w jeden z następujących sposobów:</w:t>
      </w:r>
    </w:p>
    <w:p w14:paraId="2F82FFA2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osobiście w siedzibie Zamawiającego tj. w Miejskim Zarządzie Budynków Komunalnych                       w Sławkowie,  ul. Łosińska 1, 41-260 Sławków,</w:t>
      </w:r>
    </w:p>
    <w:p w14:paraId="4F95C497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za pośrednictwem poczty na adres Zamawiającego: Miejski Zarząd Budynków Komunalnych w Sławkowie,  ul. Łosińska 1, 41-260 Sławków,</w:t>
      </w:r>
    </w:p>
    <w:p w14:paraId="3FA3AD6C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- pocztą elektroniczną –  na adres mailowy: akozlowska@mzbk.slawkow.pl  z podaniem                         w tytule wiadomości numeru sprawy: MZBK.260.158.2025.</w:t>
      </w:r>
    </w:p>
    <w:p w14:paraId="0540D68A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373187E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Otwarcie ofert nastąpi w siedzibie Miejskiego Zarządu Budynków Komunalnych                              w Sławkowie przy ul. Łosińska 1, 41-260 Sławków  w dniu 30.12.2025 r.  o godzinie 11</w:t>
      </w: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5266E9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17F61A2" w14:textId="77777777" w:rsidR="005266E9" w:rsidRPr="005266E9" w:rsidRDefault="005266E9" w:rsidP="005266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D13EBE" w14:textId="77777777" w:rsidR="005266E9" w:rsidRPr="005266E9" w:rsidRDefault="005266E9" w:rsidP="005266E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DODATKOWE INFORMACJE</w:t>
      </w:r>
    </w:p>
    <w:p w14:paraId="1C60F663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Okres związania ofertą wynosi 30 dni. </w:t>
      </w:r>
    </w:p>
    <w:p w14:paraId="4ED8F501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Zapytania dot. postępowania należy tylko w formie pisemnej kierować na adres </w:t>
      </w:r>
      <w:hyperlink r:id="rId8" w:history="1">
        <w:r w:rsidRPr="005266E9">
          <w:rPr>
            <w:rFonts w:ascii="Times New Roman" w:eastAsia="Times New Roman" w:hAnsi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</w:t>
      </w:r>
    </w:p>
    <w:p w14:paraId="743BF450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Załącznikiem do niniejszego zaproszenia jest wzór formularza oferty. Oferta powinna zawierać elementy wskazane we wzorze formularza oferty, załączonego do niniejszego zaproszenia. Wykonawca może wykorzystać załączony wzór bezpośrednio.</w:t>
      </w:r>
    </w:p>
    <w:p w14:paraId="3B188FCF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 </w:t>
      </w:r>
    </w:p>
    <w:p w14:paraId="3851BDA9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Informacja o wyborze najkorzystniejszej oferty zostanie opublikowana w Biuletynie Informacji Publicznej MZBK Sławków. </w:t>
      </w:r>
    </w:p>
    <w:p w14:paraId="32E5BE7B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Zadanie jest</w:t>
      </w:r>
      <w:r w:rsidRPr="005266E9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wyłączone ze stosowania ustawy z dnia 11 września 2019 r. Prawo zamówień publicznych na podstawie jej art. 2 ust. 1 pkt 1.</w:t>
      </w:r>
    </w:p>
    <w:p w14:paraId="32C95677" w14:textId="77777777" w:rsidR="005266E9" w:rsidRPr="005266E9" w:rsidRDefault="005266E9" w:rsidP="005266E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5266E9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Klauzula informacyjna stanowi integralną część zaproszenia. </w:t>
      </w:r>
    </w:p>
    <w:p w14:paraId="7106EEA4" w14:textId="77777777" w:rsidR="005266E9" w:rsidRPr="005266E9" w:rsidRDefault="005266E9" w:rsidP="005266E9">
      <w:pPr>
        <w:spacing w:line="254" w:lineRule="auto"/>
        <w:rPr>
          <w:color w:val="FF0000"/>
        </w:rPr>
      </w:pPr>
    </w:p>
    <w:p w14:paraId="1EA3E33D" w14:textId="77777777" w:rsidR="001716CB" w:rsidRDefault="001716CB">
      <w:pPr>
        <w:rPr>
          <w:color w:val="FF0000"/>
        </w:rPr>
      </w:pPr>
    </w:p>
    <w:p w14:paraId="63E375A2" w14:textId="77777777" w:rsidR="001716CB" w:rsidRPr="00E44482" w:rsidRDefault="001716CB" w:rsidP="00171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Data: ..........................................</w:t>
      </w:r>
    </w:p>
    <w:p w14:paraId="2824BD31" w14:textId="77777777" w:rsidR="001716CB" w:rsidRPr="00E44482" w:rsidRDefault="001716CB" w:rsidP="00171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854A1" w14:textId="5535CC01" w:rsidR="001716CB" w:rsidRPr="00B938E6" w:rsidRDefault="001716CB" w:rsidP="005266E9">
      <w:pPr>
        <w:spacing w:after="0" w:line="240" w:lineRule="auto"/>
        <w:jc w:val="both"/>
        <w:rPr>
          <w:color w:val="FF0000"/>
        </w:rPr>
      </w:pPr>
      <w:r w:rsidRPr="00E44482">
        <w:rPr>
          <w:rFonts w:ascii="Times New Roman" w:hAnsi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E44482">
        <w:rPr>
          <w:rFonts w:ascii="Times New Roman" w:hAnsi="Times New Roman"/>
          <w:sz w:val="24"/>
          <w:szCs w:val="24"/>
        </w:rPr>
        <w:t>………………………………</w:t>
      </w:r>
    </w:p>
    <w:sectPr w:rsidR="001716CB" w:rsidRPr="00B938E6" w:rsidSect="0069127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FAEE" w14:textId="77777777" w:rsidR="00814BA4" w:rsidRDefault="00814BA4" w:rsidP="00A94AD7">
      <w:pPr>
        <w:spacing w:after="0" w:line="240" w:lineRule="auto"/>
      </w:pPr>
      <w:r>
        <w:separator/>
      </w:r>
    </w:p>
  </w:endnote>
  <w:endnote w:type="continuationSeparator" w:id="0">
    <w:p w14:paraId="3287C842" w14:textId="77777777" w:rsidR="00814BA4" w:rsidRDefault="00814BA4" w:rsidP="00A9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9B6" w14:textId="77777777" w:rsidR="00814BA4" w:rsidRDefault="00814BA4" w:rsidP="00A94AD7">
      <w:pPr>
        <w:spacing w:after="0" w:line="240" w:lineRule="auto"/>
      </w:pPr>
      <w:r>
        <w:separator/>
      </w:r>
    </w:p>
  </w:footnote>
  <w:footnote w:type="continuationSeparator" w:id="0">
    <w:p w14:paraId="367C2204" w14:textId="77777777" w:rsidR="00814BA4" w:rsidRDefault="00814BA4" w:rsidP="00A94AD7">
      <w:pPr>
        <w:spacing w:after="0" w:line="240" w:lineRule="auto"/>
      </w:pPr>
      <w:r>
        <w:continuationSeparator/>
      </w:r>
    </w:p>
  </w:footnote>
  <w:footnote w:id="1">
    <w:p w14:paraId="713B3749" w14:textId="77777777" w:rsidR="00F01FB8" w:rsidRPr="00502249" w:rsidRDefault="00F01FB8" w:rsidP="00F01FB8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7498F37" w14:textId="77777777" w:rsidR="00FA14B7" w:rsidRPr="00502249" w:rsidRDefault="00FA14B7" w:rsidP="00FA14B7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3">
    <w:p w14:paraId="333D472D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4">
    <w:p w14:paraId="492D926C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5">
    <w:p w14:paraId="0B7908CC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6">
    <w:p w14:paraId="2E6604B5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7">
    <w:p w14:paraId="21F2FD7E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8">
    <w:p w14:paraId="0A383A2B" w14:textId="77777777" w:rsidR="00647D77" w:rsidRPr="00502249" w:rsidRDefault="00647D77" w:rsidP="00647D77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9">
    <w:p w14:paraId="711BEA1F" w14:textId="77777777" w:rsidR="00647D77" w:rsidRPr="00502249" w:rsidRDefault="00647D77" w:rsidP="00647D77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10">
    <w:p w14:paraId="0BC71F31" w14:textId="77777777" w:rsidR="00647D77" w:rsidRPr="00502249" w:rsidRDefault="00647D77" w:rsidP="00647D77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11">
    <w:p w14:paraId="0D3644CF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12">
    <w:p w14:paraId="1C5D9E7D" w14:textId="77777777" w:rsidR="00320A1B" w:rsidRPr="00502249" w:rsidRDefault="00320A1B" w:rsidP="00320A1B">
      <w:pPr>
        <w:spacing w:after="0" w:line="240" w:lineRule="auto"/>
        <w:jc w:val="both"/>
        <w:rPr>
          <w:sz w:val="12"/>
          <w:szCs w:val="12"/>
        </w:rPr>
      </w:pPr>
      <w:r w:rsidRPr="00502249">
        <w:rPr>
          <w:rStyle w:val="Odwoanieprzypisudolnego"/>
          <w:rFonts w:ascii="Times New Roman" w:hAnsi="Times New Roman" w:cs="Calibri"/>
          <w:sz w:val="10"/>
          <w:szCs w:val="10"/>
        </w:rPr>
        <w:footnoteRef/>
      </w:r>
      <w:r w:rsidRPr="00502249">
        <w:rPr>
          <w:rFonts w:ascii="Times New Roman" w:hAnsi="Times New Roman"/>
          <w:sz w:val="10"/>
          <w:szCs w:val="10"/>
        </w:rPr>
        <w:t xml:space="preserve"> </w:t>
      </w:r>
      <w:r w:rsidRPr="00502249">
        <w:rPr>
          <w:rStyle w:val="FontStyle100"/>
          <w:sz w:val="10"/>
          <w:szCs w:val="10"/>
        </w:rPr>
        <w:t>Podatek VAT powinien zostać wyliczony zgodnie z obowiązującymi w dniu składania ofert przepisami prawa, z dokładnością do dwóch miejsc po przecinku</w:t>
      </w:r>
    </w:p>
  </w:footnote>
  <w:footnote w:id="13">
    <w:p w14:paraId="0880A67A" w14:textId="77777777" w:rsidR="001716CB" w:rsidRPr="00981DB5" w:rsidRDefault="001716CB" w:rsidP="001716C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23768">
        <w:rPr>
          <w:rFonts w:ascii="Times New Roman" w:hAnsi="Times New Roman"/>
          <w:sz w:val="20"/>
          <w:szCs w:val="20"/>
        </w:rPr>
        <w:t xml:space="preserve"> </w:t>
      </w:r>
      <w:r w:rsidRPr="00823768">
        <w:rPr>
          <w:rFonts w:ascii="Times New Roman" w:hAnsi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4A5"/>
    <w:multiLevelType w:val="hybridMultilevel"/>
    <w:tmpl w:val="DB143B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FF6"/>
    <w:multiLevelType w:val="hybridMultilevel"/>
    <w:tmpl w:val="802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4486"/>
    <w:multiLevelType w:val="hybridMultilevel"/>
    <w:tmpl w:val="0BC61560"/>
    <w:lvl w:ilvl="0" w:tplc="A6D0202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A50D4"/>
    <w:multiLevelType w:val="hybridMultilevel"/>
    <w:tmpl w:val="1E6E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4E5A"/>
    <w:multiLevelType w:val="hybridMultilevel"/>
    <w:tmpl w:val="55B0D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E3F00"/>
    <w:multiLevelType w:val="hybridMultilevel"/>
    <w:tmpl w:val="8932C56C"/>
    <w:lvl w:ilvl="0" w:tplc="D99608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4DE7"/>
    <w:multiLevelType w:val="hybridMultilevel"/>
    <w:tmpl w:val="47923008"/>
    <w:lvl w:ilvl="0" w:tplc="2D20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2E34"/>
    <w:multiLevelType w:val="hybridMultilevel"/>
    <w:tmpl w:val="5708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0A64"/>
    <w:multiLevelType w:val="hybridMultilevel"/>
    <w:tmpl w:val="07A6A8C4"/>
    <w:lvl w:ilvl="0" w:tplc="A6245922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96961">
    <w:abstractNumId w:val="8"/>
  </w:num>
  <w:num w:numId="2" w16cid:durableId="1187447664">
    <w:abstractNumId w:val="6"/>
  </w:num>
  <w:num w:numId="3" w16cid:durableId="440879160">
    <w:abstractNumId w:val="1"/>
  </w:num>
  <w:num w:numId="4" w16cid:durableId="326060837">
    <w:abstractNumId w:val="7"/>
  </w:num>
  <w:num w:numId="5" w16cid:durableId="1833447917">
    <w:abstractNumId w:val="3"/>
  </w:num>
  <w:num w:numId="6" w16cid:durableId="627010527">
    <w:abstractNumId w:val="4"/>
  </w:num>
  <w:num w:numId="7" w16cid:durableId="1035039427">
    <w:abstractNumId w:val="0"/>
  </w:num>
  <w:num w:numId="8" w16cid:durableId="1171530511">
    <w:abstractNumId w:val="5"/>
  </w:num>
  <w:num w:numId="9" w16cid:durableId="1540584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8467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75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E"/>
    <w:rsid w:val="00000340"/>
    <w:rsid w:val="00002968"/>
    <w:rsid w:val="00003978"/>
    <w:rsid w:val="00003D6D"/>
    <w:rsid w:val="00006C30"/>
    <w:rsid w:val="00012865"/>
    <w:rsid w:val="00016D3C"/>
    <w:rsid w:val="0002383B"/>
    <w:rsid w:val="00023916"/>
    <w:rsid w:val="0003449C"/>
    <w:rsid w:val="00034E4E"/>
    <w:rsid w:val="00035686"/>
    <w:rsid w:val="0003763F"/>
    <w:rsid w:val="000407BB"/>
    <w:rsid w:val="00041420"/>
    <w:rsid w:val="00042A16"/>
    <w:rsid w:val="00045E12"/>
    <w:rsid w:val="00047CA3"/>
    <w:rsid w:val="00047D28"/>
    <w:rsid w:val="000509B8"/>
    <w:rsid w:val="00052BB7"/>
    <w:rsid w:val="000663A4"/>
    <w:rsid w:val="0008264C"/>
    <w:rsid w:val="00085811"/>
    <w:rsid w:val="000A32BA"/>
    <w:rsid w:val="000B0DF7"/>
    <w:rsid w:val="000B3D3C"/>
    <w:rsid w:val="000B70C2"/>
    <w:rsid w:val="000D18CD"/>
    <w:rsid w:val="000D529B"/>
    <w:rsid w:val="000D6D0B"/>
    <w:rsid w:val="000E2B53"/>
    <w:rsid w:val="0011629A"/>
    <w:rsid w:val="001231B3"/>
    <w:rsid w:val="00123D5D"/>
    <w:rsid w:val="0012675F"/>
    <w:rsid w:val="001364CC"/>
    <w:rsid w:val="00137E45"/>
    <w:rsid w:val="00143EF2"/>
    <w:rsid w:val="00151244"/>
    <w:rsid w:val="00151E61"/>
    <w:rsid w:val="001542B0"/>
    <w:rsid w:val="001554B3"/>
    <w:rsid w:val="00164EB5"/>
    <w:rsid w:val="00167242"/>
    <w:rsid w:val="00170728"/>
    <w:rsid w:val="001716CB"/>
    <w:rsid w:val="001724A5"/>
    <w:rsid w:val="00173630"/>
    <w:rsid w:val="00181CA6"/>
    <w:rsid w:val="00186513"/>
    <w:rsid w:val="0019446A"/>
    <w:rsid w:val="001C0B40"/>
    <w:rsid w:val="001C4461"/>
    <w:rsid w:val="001D0EC0"/>
    <w:rsid w:val="001E00DD"/>
    <w:rsid w:val="001F4228"/>
    <w:rsid w:val="001F4412"/>
    <w:rsid w:val="00200FDC"/>
    <w:rsid w:val="00214A71"/>
    <w:rsid w:val="00221606"/>
    <w:rsid w:val="002228F8"/>
    <w:rsid w:val="002319E3"/>
    <w:rsid w:val="0023538A"/>
    <w:rsid w:val="00240FDB"/>
    <w:rsid w:val="00243EE8"/>
    <w:rsid w:val="0024750B"/>
    <w:rsid w:val="00263999"/>
    <w:rsid w:val="00264595"/>
    <w:rsid w:val="00267E6D"/>
    <w:rsid w:val="00277FA6"/>
    <w:rsid w:val="00281ABB"/>
    <w:rsid w:val="00285114"/>
    <w:rsid w:val="00286093"/>
    <w:rsid w:val="002949A7"/>
    <w:rsid w:val="002955D1"/>
    <w:rsid w:val="00297B2A"/>
    <w:rsid w:val="002A2572"/>
    <w:rsid w:val="002A314B"/>
    <w:rsid w:val="002A4566"/>
    <w:rsid w:val="002A4C19"/>
    <w:rsid w:val="002B273E"/>
    <w:rsid w:val="002C25CD"/>
    <w:rsid w:val="002C40CC"/>
    <w:rsid w:val="002C6D06"/>
    <w:rsid w:val="002D430E"/>
    <w:rsid w:val="002D7235"/>
    <w:rsid w:val="002E3747"/>
    <w:rsid w:val="002E3AFA"/>
    <w:rsid w:val="002F3E53"/>
    <w:rsid w:val="002F42BA"/>
    <w:rsid w:val="002F68AC"/>
    <w:rsid w:val="002F6A67"/>
    <w:rsid w:val="00306703"/>
    <w:rsid w:val="003129F1"/>
    <w:rsid w:val="003159B0"/>
    <w:rsid w:val="00320A1B"/>
    <w:rsid w:val="00322740"/>
    <w:rsid w:val="00322F54"/>
    <w:rsid w:val="00324DB5"/>
    <w:rsid w:val="00326F4E"/>
    <w:rsid w:val="00330EB4"/>
    <w:rsid w:val="00330F3D"/>
    <w:rsid w:val="00356DAE"/>
    <w:rsid w:val="00373E5A"/>
    <w:rsid w:val="00374824"/>
    <w:rsid w:val="00377A15"/>
    <w:rsid w:val="00380A43"/>
    <w:rsid w:val="003867B0"/>
    <w:rsid w:val="00390EE3"/>
    <w:rsid w:val="00391B6A"/>
    <w:rsid w:val="003A00F0"/>
    <w:rsid w:val="003A16F9"/>
    <w:rsid w:val="003A4369"/>
    <w:rsid w:val="003B28CC"/>
    <w:rsid w:val="003C0807"/>
    <w:rsid w:val="003C64BD"/>
    <w:rsid w:val="003D0555"/>
    <w:rsid w:val="003E09E8"/>
    <w:rsid w:val="003E2C87"/>
    <w:rsid w:val="003E39ED"/>
    <w:rsid w:val="003E39EF"/>
    <w:rsid w:val="003F41BB"/>
    <w:rsid w:val="003F470D"/>
    <w:rsid w:val="0041066A"/>
    <w:rsid w:val="00411241"/>
    <w:rsid w:val="004310AE"/>
    <w:rsid w:val="004310C2"/>
    <w:rsid w:val="00435761"/>
    <w:rsid w:val="00442CE9"/>
    <w:rsid w:val="004441FF"/>
    <w:rsid w:val="0045405A"/>
    <w:rsid w:val="00454A8C"/>
    <w:rsid w:val="00464B16"/>
    <w:rsid w:val="00476DFE"/>
    <w:rsid w:val="0048642F"/>
    <w:rsid w:val="004879CA"/>
    <w:rsid w:val="0049146A"/>
    <w:rsid w:val="00496EA9"/>
    <w:rsid w:val="004A29F8"/>
    <w:rsid w:val="004C26C3"/>
    <w:rsid w:val="004C5DFB"/>
    <w:rsid w:val="004D02F6"/>
    <w:rsid w:val="004D7CE4"/>
    <w:rsid w:val="004D7FBB"/>
    <w:rsid w:val="004E622A"/>
    <w:rsid w:val="004F0B08"/>
    <w:rsid w:val="004F3E66"/>
    <w:rsid w:val="00502249"/>
    <w:rsid w:val="005078DF"/>
    <w:rsid w:val="00513F57"/>
    <w:rsid w:val="00517685"/>
    <w:rsid w:val="00520055"/>
    <w:rsid w:val="005200B7"/>
    <w:rsid w:val="00523714"/>
    <w:rsid w:val="00525423"/>
    <w:rsid w:val="005255CE"/>
    <w:rsid w:val="005266E9"/>
    <w:rsid w:val="00543026"/>
    <w:rsid w:val="00547F26"/>
    <w:rsid w:val="00562A18"/>
    <w:rsid w:val="00571A47"/>
    <w:rsid w:val="00585670"/>
    <w:rsid w:val="0058696B"/>
    <w:rsid w:val="00592AD2"/>
    <w:rsid w:val="00596503"/>
    <w:rsid w:val="005A3086"/>
    <w:rsid w:val="005A6549"/>
    <w:rsid w:val="005B7F17"/>
    <w:rsid w:val="005C5859"/>
    <w:rsid w:val="005D14CA"/>
    <w:rsid w:val="005D4A66"/>
    <w:rsid w:val="005D6365"/>
    <w:rsid w:val="005D7C75"/>
    <w:rsid w:val="005F14BE"/>
    <w:rsid w:val="005F6CF5"/>
    <w:rsid w:val="005F795D"/>
    <w:rsid w:val="00606635"/>
    <w:rsid w:val="006126D3"/>
    <w:rsid w:val="0061542D"/>
    <w:rsid w:val="0063647B"/>
    <w:rsid w:val="00636E82"/>
    <w:rsid w:val="006432B9"/>
    <w:rsid w:val="00643F51"/>
    <w:rsid w:val="00646297"/>
    <w:rsid w:val="00647D77"/>
    <w:rsid w:val="00651D69"/>
    <w:rsid w:val="006618BB"/>
    <w:rsid w:val="006705C9"/>
    <w:rsid w:val="00673FBD"/>
    <w:rsid w:val="00674965"/>
    <w:rsid w:val="0069012D"/>
    <w:rsid w:val="0069127F"/>
    <w:rsid w:val="00693A12"/>
    <w:rsid w:val="00696F3F"/>
    <w:rsid w:val="006C506E"/>
    <w:rsid w:val="006C7040"/>
    <w:rsid w:val="006D23EA"/>
    <w:rsid w:val="006D2ED1"/>
    <w:rsid w:val="006D39BB"/>
    <w:rsid w:val="006D5D74"/>
    <w:rsid w:val="006D76E4"/>
    <w:rsid w:val="006F1842"/>
    <w:rsid w:val="006F240F"/>
    <w:rsid w:val="006F6C30"/>
    <w:rsid w:val="007113B2"/>
    <w:rsid w:val="00720D21"/>
    <w:rsid w:val="00721D26"/>
    <w:rsid w:val="007353D7"/>
    <w:rsid w:val="0073673E"/>
    <w:rsid w:val="00741467"/>
    <w:rsid w:val="007479F6"/>
    <w:rsid w:val="00747E5F"/>
    <w:rsid w:val="00751A33"/>
    <w:rsid w:val="00752692"/>
    <w:rsid w:val="00757C8D"/>
    <w:rsid w:val="0076774E"/>
    <w:rsid w:val="007853E4"/>
    <w:rsid w:val="00785B86"/>
    <w:rsid w:val="0078723A"/>
    <w:rsid w:val="007979E2"/>
    <w:rsid w:val="007A08BF"/>
    <w:rsid w:val="007A3024"/>
    <w:rsid w:val="007B0281"/>
    <w:rsid w:val="007B2785"/>
    <w:rsid w:val="007B2D6F"/>
    <w:rsid w:val="007B3E02"/>
    <w:rsid w:val="007B4687"/>
    <w:rsid w:val="007C2DBB"/>
    <w:rsid w:val="007D2259"/>
    <w:rsid w:val="007E05E0"/>
    <w:rsid w:val="007E0EF1"/>
    <w:rsid w:val="007E4076"/>
    <w:rsid w:val="007F36A9"/>
    <w:rsid w:val="007F7F4A"/>
    <w:rsid w:val="00803273"/>
    <w:rsid w:val="008043DA"/>
    <w:rsid w:val="00807011"/>
    <w:rsid w:val="00814BA4"/>
    <w:rsid w:val="008206F7"/>
    <w:rsid w:val="00827A29"/>
    <w:rsid w:val="00833420"/>
    <w:rsid w:val="008416D8"/>
    <w:rsid w:val="00844CD2"/>
    <w:rsid w:val="00847708"/>
    <w:rsid w:val="00850BC3"/>
    <w:rsid w:val="00863A17"/>
    <w:rsid w:val="0086739D"/>
    <w:rsid w:val="00870615"/>
    <w:rsid w:val="008829EB"/>
    <w:rsid w:val="00883F62"/>
    <w:rsid w:val="00891C09"/>
    <w:rsid w:val="0089665F"/>
    <w:rsid w:val="008B4AF8"/>
    <w:rsid w:val="008B5D75"/>
    <w:rsid w:val="008C3D86"/>
    <w:rsid w:val="008C3F82"/>
    <w:rsid w:val="008E2761"/>
    <w:rsid w:val="008E63FC"/>
    <w:rsid w:val="00905983"/>
    <w:rsid w:val="009066DE"/>
    <w:rsid w:val="0092105A"/>
    <w:rsid w:val="00923682"/>
    <w:rsid w:val="009247D2"/>
    <w:rsid w:val="00924CD0"/>
    <w:rsid w:val="00927E28"/>
    <w:rsid w:val="009379E5"/>
    <w:rsid w:val="00952EA0"/>
    <w:rsid w:val="00970DC3"/>
    <w:rsid w:val="0097495C"/>
    <w:rsid w:val="00974F3B"/>
    <w:rsid w:val="0097691E"/>
    <w:rsid w:val="00993154"/>
    <w:rsid w:val="009947F1"/>
    <w:rsid w:val="009A72D4"/>
    <w:rsid w:val="009B05D1"/>
    <w:rsid w:val="009B0CE4"/>
    <w:rsid w:val="009B3E7F"/>
    <w:rsid w:val="009C5A8A"/>
    <w:rsid w:val="009C6ADC"/>
    <w:rsid w:val="009D480C"/>
    <w:rsid w:val="009E31B6"/>
    <w:rsid w:val="009E7D13"/>
    <w:rsid w:val="00A03ED6"/>
    <w:rsid w:val="00A049CC"/>
    <w:rsid w:val="00A10495"/>
    <w:rsid w:val="00A231E7"/>
    <w:rsid w:val="00A3306C"/>
    <w:rsid w:val="00A35570"/>
    <w:rsid w:val="00A35D81"/>
    <w:rsid w:val="00A41059"/>
    <w:rsid w:val="00A432AA"/>
    <w:rsid w:val="00A4408E"/>
    <w:rsid w:val="00A56F8D"/>
    <w:rsid w:val="00A62CB8"/>
    <w:rsid w:val="00A66DD6"/>
    <w:rsid w:val="00A82562"/>
    <w:rsid w:val="00A82F83"/>
    <w:rsid w:val="00A84FD0"/>
    <w:rsid w:val="00A933CD"/>
    <w:rsid w:val="00A94AD7"/>
    <w:rsid w:val="00AA7A13"/>
    <w:rsid w:val="00AB099F"/>
    <w:rsid w:val="00AB4496"/>
    <w:rsid w:val="00AB6D42"/>
    <w:rsid w:val="00AB7591"/>
    <w:rsid w:val="00AC2A3A"/>
    <w:rsid w:val="00AC37F2"/>
    <w:rsid w:val="00AD3809"/>
    <w:rsid w:val="00AD778E"/>
    <w:rsid w:val="00AF1EEA"/>
    <w:rsid w:val="00AF3EF6"/>
    <w:rsid w:val="00AF41E8"/>
    <w:rsid w:val="00B015FA"/>
    <w:rsid w:val="00B11318"/>
    <w:rsid w:val="00B2641B"/>
    <w:rsid w:val="00B35593"/>
    <w:rsid w:val="00B44703"/>
    <w:rsid w:val="00B61719"/>
    <w:rsid w:val="00B640BF"/>
    <w:rsid w:val="00B80935"/>
    <w:rsid w:val="00B84E50"/>
    <w:rsid w:val="00B87FB7"/>
    <w:rsid w:val="00B938E6"/>
    <w:rsid w:val="00B943E0"/>
    <w:rsid w:val="00BA1EB6"/>
    <w:rsid w:val="00BA281E"/>
    <w:rsid w:val="00BA79B6"/>
    <w:rsid w:val="00BB1359"/>
    <w:rsid w:val="00BB1645"/>
    <w:rsid w:val="00BB386E"/>
    <w:rsid w:val="00BC499E"/>
    <w:rsid w:val="00BC5E6D"/>
    <w:rsid w:val="00BD0270"/>
    <w:rsid w:val="00BD3C86"/>
    <w:rsid w:val="00BD67D9"/>
    <w:rsid w:val="00BE3974"/>
    <w:rsid w:val="00BF1786"/>
    <w:rsid w:val="00BF3E94"/>
    <w:rsid w:val="00BF76FB"/>
    <w:rsid w:val="00C07C5D"/>
    <w:rsid w:val="00C151E7"/>
    <w:rsid w:val="00C25E1B"/>
    <w:rsid w:val="00C31443"/>
    <w:rsid w:val="00C47C0F"/>
    <w:rsid w:val="00C620F2"/>
    <w:rsid w:val="00C62FBE"/>
    <w:rsid w:val="00C71E8A"/>
    <w:rsid w:val="00C74F65"/>
    <w:rsid w:val="00C90D2B"/>
    <w:rsid w:val="00C94555"/>
    <w:rsid w:val="00CA0FAF"/>
    <w:rsid w:val="00CA1196"/>
    <w:rsid w:val="00CA6FA1"/>
    <w:rsid w:val="00CB0EBB"/>
    <w:rsid w:val="00CB6AA4"/>
    <w:rsid w:val="00CC47BF"/>
    <w:rsid w:val="00CD72E6"/>
    <w:rsid w:val="00CE4223"/>
    <w:rsid w:val="00CE5AAF"/>
    <w:rsid w:val="00CE6B62"/>
    <w:rsid w:val="00CE7AA6"/>
    <w:rsid w:val="00CF7BA1"/>
    <w:rsid w:val="00D0415B"/>
    <w:rsid w:val="00D078D1"/>
    <w:rsid w:val="00D10B5F"/>
    <w:rsid w:val="00D2477A"/>
    <w:rsid w:val="00D253F2"/>
    <w:rsid w:val="00D41843"/>
    <w:rsid w:val="00D551D7"/>
    <w:rsid w:val="00D62F43"/>
    <w:rsid w:val="00D74F0E"/>
    <w:rsid w:val="00D77038"/>
    <w:rsid w:val="00D77BE6"/>
    <w:rsid w:val="00D809F9"/>
    <w:rsid w:val="00D959D0"/>
    <w:rsid w:val="00DA76F5"/>
    <w:rsid w:val="00DC3AEF"/>
    <w:rsid w:val="00DC7BFD"/>
    <w:rsid w:val="00DD462D"/>
    <w:rsid w:val="00DE6E91"/>
    <w:rsid w:val="00DF00AF"/>
    <w:rsid w:val="00DF1690"/>
    <w:rsid w:val="00DF4EEE"/>
    <w:rsid w:val="00DF7226"/>
    <w:rsid w:val="00E0281C"/>
    <w:rsid w:val="00E04054"/>
    <w:rsid w:val="00E07181"/>
    <w:rsid w:val="00E15B04"/>
    <w:rsid w:val="00E17FA9"/>
    <w:rsid w:val="00E3278D"/>
    <w:rsid w:val="00E35B1C"/>
    <w:rsid w:val="00E3737F"/>
    <w:rsid w:val="00E3782D"/>
    <w:rsid w:val="00E4076B"/>
    <w:rsid w:val="00E43EB9"/>
    <w:rsid w:val="00E522C5"/>
    <w:rsid w:val="00E53DF6"/>
    <w:rsid w:val="00E57449"/>
    <w:rsid w:val="00E613AE"/>
    <w:rsid w:val="00E622BD"/>
    <w:rsid w:val="00E71CA1"/>
    <w:rsid w:val="00E729BB"/>
    <w:rsid w:val="00E82DB9"/>
    <w:rsid w:val="00E8573A"/>
    <w:rsid w:val="00EA0A43"/>
    <w:rsid w:val="00EB7392"/>
    <w:rsid w:val="00EC30F7"/>
    <w:rsid w:val="00ED7B8B"/>
    <w:rsid w:val="00EE4589"/>
    <w:rsid w:val="00EF7422"/>
    <w:rsid w:val="00F01FB8"/>
    <w:rsid w:val="00F06575"/>
    <w:rsid w:val="00F078D9"/>
    <w:rsid w:val="00F21834"/>
    <w:rsid w:val="00F23C4B"/>
    <w:rsid w:val="00F313D4"/>
    <w:rsid w:val="00F320B0"/>
    <w:rsid w:val="00F3383A"/>
    <w:rsid w:val="00F35142"/>
    <w:rsid w:val="00F40A2C"/>
    <w:rsid w:val="00F40CB8"/>
    <w:rsid w:val="00F506D8"/>
    <w:rsid w:val="00F52A17"/>
    <w:rsid w:val="00F551A2"/>
    <w:rsid w:val="00F561D1"/>
    <w:rsid w:val="00F602AE"/>
    <w:rsid w:val="00F649E7"/>
    <w:rsid w:val="00F6740D"/>
    <w:rsid w:val="00F7313D"/>
    <w:rsid w:val="00F76BED"/>
    <w:rsid w:val="00F84AEB"/>
    <w:rsid w:val="00F95478"/>
    <w:rsid w:val="00F96D85"/>
    <w:rsid w:val="00FA14B7"/>
    <w:rsid w:val="00FA2768"/>
    <w:rsid w:val="00FA561E"/>
    <w:rsid w:val="00FB0E08"/>
    <w:rsid w:val="00FB263A"/>
    <w:rsid w:val="00FB3A06"/>
    <w:rsid w:val="00FB7572"/>
    <w:rsid w:val="00FC1D26"/>
    <w:rsid w:val="00FC29EC"/>
    <w:rsid w:val="00FC556E"/>
    <w:rsid w:val="00FD1D21"/>
    <w:rsid w:val="00FD45E4"/>
    <w:rsid w:val="00FF0165"/>
    <w:rsid w:val="00FF5E39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393F"/>
  <w15:chartTrackingRefBased/>
  <w15:docId w15:val="{CB8A6F05-7099-4BD2-BF94-7A9D689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5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3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AD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0">
    <w:name w:val="Font Style100"/>
    <w:uiPriority w:val="99"/>
    <w:rsid w:val="00F01FB8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01FB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9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95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9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6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0D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DC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F6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wska@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8822-CD61-4061-9A27-2C0DF04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3125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67</cp:revision>
  <cp:lastPrinted>2024-12-10T11:25:00Z</cp:lastPrinted>
  <dcterms:created xsi:type="dcterms:W3CDTF">2024-12-16T09:44:00Z</dcterms:created>
  <dcterms:modified xsi:type="dcterms:W3CDTF">2025-12-18T06:21:00Z</dcterms:modified>
</cp:coreProperties>
</file>