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09E4E" w14:textId="62D73A6D" w:rsidR="00952F44" w:rsidRPr="00625E3A" w:rsidRDefault="004F5D6A" w:rsidP="00C81CE1">
      <w:pPr>
        <w:spacing w:line="276" w:lineRule="auto"/>
        <w:jc w:val="center"/>
        <w:rPr>
          <w:rFonts w:ascii="Times New Roman" w:hAnsi="Times New Roman" w:cs="Times New Roman"/>
          <w:b/>
          <w:bCs/>
          <w:sz w:val="24"/>
          <w:szCs w:val="24"/>
        </w:rPr>
      </w:pPr>
      <w:r w:rsidRPr="00625E3A">
        <w:rPr>
          <w:rFonts w:ascii="Times New Roman" w:hAnsi="Times New Roman" w:cs="Times New Roman"/>
          <w:b/>
          <w:bCs/>
          <w:sz w:val="24"/>
          <w:szCs w:val="24"/>
        </w:rPr>
        <w:t>Regulamin</w:t>
      </w:r>
      <w:r w:rsidR="00D12F3F" w:rsidRPr="00625E3A">
        <w:rPr>
          <w:rFonts w:ascii="Times New Roman" w:hAnsi="Times New Roman" w:cs="Times New Roman"/>
          <w:b/>
          <w:bCs/>
          <w:sz w:val="24"/>
          <w:szCs w:val="24"/>
        </w:rPr>
        <w:t xml:space="preserve"> kontroli trzeźwości pracowników</w:t>
      </w:r>
    </w:p>
    <w:p w14:paraId="37CADC98" w14:textId="7C7D8BB5" w:rsidR="00D12F3F" w:rsidRPr="00625E3A" w:rsidRDefault="00D12F3F" w:rsidP="00C81CE1">
      <w:pPr>
        <w:spacing w:line="276" w:lineRule="auto"/>
        <w:jc w:val="both"/>
        <w:rPr>
          <w:rFonts w:ascii="Times New Roman" w:hAnsi="Times New Roman" w:cs="Times New Roman"/>
          <w:sz w:val="24"/>
          <w:szCs w:val="24"/>
        </w:rPr>
      </w:pPr>
    </w:p>
    <w:p w14:paraId="77658C72" w14:textId="2ADC8833" w:rsidR="00D12F3F" w:rsidRPr="00625E3A"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625E3A">
        <w:rPr>
          <w:rFonts w:ascii="Times New Roman" w:hAnsi="Times New Roman" w:cs="Times New Roman"/>
          <w:b/>
          <w:bCs/>
          <w:sz w:val="24"/>
          <w:szCs w:val="24"/>
        </w:rPr>
        <w:t>Kontrola trzeźwości pracowników</w:t>
      </w:r>
    </w:p>
    <w:p w14:paraId="50EAD5DD" w14:textId="4080B992" w:rsidR="00D12F3F" w:rsidRPr="008B23E2" w:rsidRDefault="00D12F3F" w:rsidP="00C81CE1">
      <w:pPr>
        <w:pStyle w:val="Akapitzlist"/>
        <w:numPr>
          <w:ilvl w:val="0"/>
          <w:numId w:val="2"/>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Kontrola może być przeprowadzana, gdy będzie to niezbędne do zapewnienia ochrony życia i zdrowia pracowników lub innych osób lub ochrony mienia.</w:t>
      </w:r>
    </w:p>
    <w:p w14:paraId="6961D581" w14:textId="3AFF6D84" w:rsidR="00D12F3F" w:rsidRPr="008B23E2" w:rsidRDefault="00D12F3F" w:rsidP="00C81CE1">
      <w:pPr>
        <w:pStyle w:val="Akapitzlist"/>
        <w:numPr>
          <w:ilvl w:val="0"/>
          <w:numId w:val="2"/>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Kontrola trzeźwości nie może naruszać godności oraz innych dóbr osobistych pracownika.</w:t>
      </w:r>
    </w:p>
    <w:p w14:paraId="3B38E3D6" w14:textId="30F2FAAA" w:rsidR="00D12F3F" w:rsidRPr="008B23E2" w:rsidRDefault="008B23E2" w:rsidP="008B23E2">
      <w:pPr>
        <w:pStyle w:val="Akapitzlist"/>
        <w:numPr>
          <w:ilvl w:val="0"/>
          <w:numId w:val="2"/>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Badanie stanu trzeźwości przeprowadza, na zgłoszenie Kierownika MZBK, właściwy organ powołany do ochrony porządku publicznego np. policja.</w:t>
      </w:r>
    </w:p>
    <w:p w14:paraId="446B39A9" w14:textId="77777777" w:rsidR="008B23E2" w:rsidRPr="008B23E2" w:rsidRDefault="008B23E2" w:rsidP="008B23E2">
      <w:pPr>
        <w:pStyle w:val="Akapitzlist"/>
        <w:spacing w:line="276" w:lineRule="auto"/>
        <w:jc w:val="both"/>
        <w:rPr>
          <w:rFonts w:ascii="Times New Roman" w:hAnsi="Times New Roman" w:cs="Times New Roman"/>
          <w:sz w:val="24"/>
          <w:szCs w:val="24"/>
        </w:rPr>
      </w:pPr>
    </w:p>
    <w:p w14:paraId="48DD65A5" w14:textId="00E2A7F4" w:rsidR="00D12F3F" w:rsidRPr="008B23E2"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8B23E2">
        <w:rPr>
          <w:rFonts w:ascii="Times New Roman" w:hAnsi="Times New Roman" w:cs="Times New Roman"/>
          <w:b/>
          <w:bCs/>
          <w:sz w:val="24"/>
          <w:szCs w:val="24"/>
        </w:rPr>
        <w:t xml:space="preserve">Zasady kontroli </w:t>
      </w:r>
    </w:p>
    <w:p w14:paraId="1251E5C1" w14:textId="51279BDD" w:rsidR="00D12F3F" w:rsidRPr="008B23E2" w:rsidRDefault="00D12F3F" w:rsidP="00C81CE1">
      <w:pPr>
        <w:pStyle w:val="Akapitzlist"/>
        <w:numPr>
          <w:ilvl w:val="0"/>
          <w:numId w:val="3"/>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Kontrola trzeźwości obejmuje badanie przy użyciu metod niewymagających badania laboratoryjnego za pomocą urządzenia posiadającego ważny dokument potwierdzający jego kalibrację lub wzorcowanie.</w:t>
      </w:r>
    </w:p>
    <w:p w14:paraId="77934326" w14:textId="002D1001" w:rsidR="00D12F3F" w:rsidRPr="008B23E2" w:rsidRDefault="00D12F3F" w:rsidP="00C81CE1">
      <w:pPr>
        <w:pStyle w:val="Akapitzlist"/>
        <w:numPr>
          <w:ilvl w:val="0"/>
          <w:numId w:val="3"/>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Badanie to polega na stwierdzeniu braku obecności alkoholu w organizmie pracownika albo obecności alkoholu wskazującej na stan po użyciu alkoholu albo stan nietrzeźwości.</w:t>
      </w:r>
    </w:p>
    <w:p w14:paraId="5BCB947C" w14:textId="73185161" w:rsidR="00D12F3F" w:rsidRPr="008B23E2" w:rsidRDefault="00D12F3F" w:rsidP="00C81CE1">
      <w:pPr>
        <w:pStyle w:val="Akapitzlist"/>
        <w:numPr>
          <w:ilvl w:val="0"/>
          <w:numId w:val="3"/>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Zgodnie z art. 46 ust. 2 albo 3 ustawy z 26.10.1982 r. o wychowaniu w trzeźwości i przeciwdziałaniu alkoholizmowi</w:t>
      </w:r>
    </w:p>
    <w:p w14:paraId="06F6EF54" w14:textId="07FB722C" w:rsidR="00D12F3F" w:rsidRPr="008B23E2" w:rsidRDefault="00D12F3F" w:rsidP="00C81CE1">
      <w:pPr>
        <w:pStyle w:val="Akapitzlist"/>
        <w:numPr>
          <w:ilvl w:val="0"/>
          <w:numId w:val="4"/>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stan po użyciu alkoholu zachodzi, gdy zawartość alkoholu w organizmie wynosi lub prowadzi do:</w:t>
      </w:r>
    </w:p>
    <w:p w14:paraId="5457C8F1" w14:textId="0FA82A33" w:rsidR="00D12F3F" w:rsidRPr="008B23E2" w:rsidRDefault="00D12F3F" w:rsidP="00C81CE1">
      <w:pPr>
        <w:pStyle w:val="Akapitzlist"/>
        <w:numPr>
          <w:ilvl w:val="0"/>
          <w:numId w:val="5"/>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stężenia we krwi od 0,2‰ do 0,5‰ alkoholu albo</w:t>
      </w:r>
    </w:p>
    <w:p w14:paraId="4167AC49" w14:textId="065B02ED" w:rsidR="00D12F3F" w:rsidRPr="008B23E2" w:rsidRDefault="00D12F3F" w:rsidP="00C81CE1">
      <w:pPr>
        <w:pStyle w:val="Akapitzlist"/>
        <w:numPr>
          <w:ilvl w:val="0"/>
          <w:numId w:val="5"/>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obecności w wydychanym powietrzu od 0,1 mg do 0,25 mg alkoholu w 1 dm3.</w:t>
      </w:r>
    </w:p>
    <w:p w14:paraId="6C8C025B" w14:textId="1C78D8F1" w:rsidR="00D12F3F" w:rsidRPr="008B23E2" w:rsidRDefault="00D12F3F" w:rsidP="00C81CE1">
      <w:pPr>
        <w:pStyle w:val="Akapitzlist"/>
        <w:numPr>
          <w:ilvl w:val="0"/>
          <w:numId w:val="4"/>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stan nietrzeźwości zachodzi, gdy zawartość alkoholu w organizmie wynosi lub prowadzi do:</w:t>
      </w:r>
    </w:p>
    <w:p w14:paraId="632768DF" w14:textId="161EA779" w:rsidR="00D12F3F" w:rsidRPr="008B23E2" w:rsidRDefault="00D12F3F" w:rsidP="00C81CE1">
      <w:pPr>
        <w:pStyle w:val="Akapitzlist"/>
        <w:numPr>
          <w:ilvl w:val="0"/>
          <w:numId w:val="6"/>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stężenia we krwi powyżej 0,5‰ alkoholu albo</w:t>
      </w:r>
    </w:p>
    <w:p w14:paraId="310B8C6C" w14:textId="234AE8ED" w:rsidR="00D12F3F" w:rsidRPr="008B23E2" w:rsidRDefault="00D12F3F" w:rsidP="00C81CE1">
      <w:pPr>
        <w:pStyle w:val="Akapitzlist"/>
        <w:numPr>
          <w:ilvl w:val="0"/>
          <w:numId w:val="6"/>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obecności w wydychanym powietrzu powyżej 0,25 mg alkoholu w 1 dm3.</w:t>
      </w:r>
    </w:p>
    <w:p w14:paraId="0BD69994" w14:textId="0DE4C9F7" w:rsidR="00D12F3F" w:rsidRPr="008B23E2" w:rsidRDefault="00D12F3F" w:rsidP="00C81CE1">
      <w:pPr>
        <w:pStyle w:val="Akapitzlist"/>
        <w:numPr>
          <w:ilvl w:val="0"/>
          <w:numId w:val="3"/>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Za równoznaczne ze stwierdzeniem braku obecności alkoholu w organizmie pracownika uznaje się przypadki, w których zawartość alkoholu nie osiąga lub nie prowadzi do osiągnięcia wartości właściwych dla stanu po użyciu alkoholu.</w:t>
      </w:r>
    </w:p>
    <w:p w14:paraId="1D24CC2B" w14:textId="77777777" w:rsidR="00D12F3F" w:rsidRPr="008B23E2" w:rsidRDefault="00D12F3F" w:rsidP="00C81CE1">
      <w:pPr>
        <w:pStyle w:val="Akapitzlist"/>
        <w:spacing w:line="276" w:lineRule="auto"/>
        <w:jc w:val="both"/>
        <w:rPr>
          <w:rFonts w:ascii="Times New Roman" w:hAnsi="Times New Roman" w:cs="Times New Roman"/>
          <w:sz w:val="24"/>
          <w:szCs w:val="24"/>
        </w:rPr>
      </w:pPr>
    </w:p>
    <w:p w14:paraId="0D711442" w14:textId="41EC621C" w:rsidR="00D12F3F" w:rsidRPr="008B23E2"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8B23E2">
        <w:rPr>
          <w:rFonts w:ascii="Times New Roman" w:hAnsi="Times New Roman" w:cs="Times New Roman"/>
          <w:b/>
          <w:bCs/>
          <w:sz w:val="24"/>
          <w:szCs w:val="24"/>
        </w:rPr>
        <w:t>Przetwarzanie danych</w:t>
      </w:r>
    </w:p>
    <w:p w14:paraId="247CABA2" w14:textId="12653600" w:rsidR="00D12F3F" w:rsidRPr="008B23E2" w:rsidRDefault="00D12F3F" w:rsidP="00C81CE1">
      <w:pPr>
        <w:pStyle w:val="Akapitzlist"/>
        <w:numPr>
          <w:ilvl w:val="0"/>
          <w:numId w:val="7"/>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Pracodawca przetwarza informacje o dacie, godzinie i minucie badania oraz jego wyniku wskazującym na stan po użyciu alkoholu albo stan nietrzeźwości wyłącznie w przypadku, gdy jest to niezbędne do zapewnienia ochrony życia i zdrowia pracowników lub innych osób lub ochrony mienia.</w:t>
      </w:r>
    </w:p>
    <w:p w14:paraId="4FD558AB" w14:textId="6A32ECC9" w:rsidR="00D12F3F" w:rsidRPr="008B23E2" w:rsidRDefault="00D12F3F" w:rsidP="00C81CE1">
      <w:pPr>
        <w:pStyle w:val="Akapitzlist"/>
        <w:numPr>
          <w:ilvl w:val="0"/>
          <w:numId w:val="7"/>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Informacje o badaniu i jego wynikach przechowywane są w aktach osobowych pracownika:</w:t>
      </w:r>
    </w:p>
    <w:p w14:paraId="3EB2BEF9" w14:textId="70AA5E9A" w:rsidR="00D12F3F" w:rsidRPr="008B23E2" w:rsidRDefault="00D12F3F" w:rsidP="00C81CE1">
      <w:pPr>
        <w:pStyle w:val="Akapitzlist"/>
        <w:numPr>
          <w:ilvl w:val="0"/>
          <w:numId w:val="8"/>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przez okres nieprzekraczający roku od dnia ich zebrania, przy czym jeżeli informacje o badaniu mogą stanowić lub stanowią dowód w postępowaniu, a pracodawca jest stroną tego postępowania lub powziął wiadomość o wytoczeniu powództwa lub wszczęciu postępowania, okres ten ulega przedłużeniu do czasu prawomocnego zakończenia postępowania;</w:t>
      </w:r>
    </w:p>
    <w:p w14:paraId="52FC4024" w14:textId="78905B3C" w:rsidR="00D12F3F" w:rsidRPr="008B23E2" w:rsidRDefault="00D12F3F" w:rsidP="00C81CE1">
      <w:pPr>
        <w:pStyle w:val="Akapitzlist"/>
        <w:numPr>
          <w:ilvl w:val="0"/>
          <w:numId w:val="8"/>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lastRenderedPageBreak/>
        <w:t xml:space="preserve">do czasu uznania kary za niebyłą zgodnie z art. 113 </w:t>
      </w:r>
      <w:proofErr w:type="spellStart"/>
      <w:r w:rsidRPr="008B23E2">
        <w:rPr>
          <w:rFonts w:ascii="Times New Roman" w:hAnsi="Times New Roman" w:cs="Times New Roman"/>
          <w:sz w:val="24"/>
          <w:szCs w:val="24"/>
        </w:rPr>
        <w:t>k.p</w:t>
      </w:r>
      <w:proofErr w:type="spellEnd"/>
      <w:r w:rsidRPr="008B23E2">
        <w:rPr>
          <w:rFonts w:ascii="Times New Roman" w:hAnsi="Times New Roman" w:cs="Times New Roman"/>
          <w:sz w:val="24"/>
          <w:szCs w:val="24"/>
        </w:rPr>
        <w:t>. - jeżeli pracownik został ukarany karą upomnienia, karą nagany lub karą pieniężną.</w:t>
      </w:r>
    </w:p>
    <w:p w14:paraId="55090CEC" w14:textId="27B95362" w:rsidR="00D12F3F" w:rsidRPr="008B23E2" w:rsidRDefault="00D12F3F" w:rsidP="00C81CE1">
      <w:pPr>
        <w:pStyle w:val="Akapitzlist"/>
        <w:numPr>
          <w:ilvl w:val="0"/>
          <w:numId w:val="7"/>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Po upływie ww. okresów informacje o badaniu i jego wynikach podlegają usunięciu.</w:t>
      </w:r>
    </w:p>
    <w:p w14:paraId="0BC08E34" w14:textId="77777777" w:rsidR="00D12F3F" w:rsidRPr="008B23E2" w:rsidRDefault="00D12F3F" w:rsidP="00C81CE1">
      <w:pPr>
        <w:pStyle w:val="Akapitzlist"/>
        <w:spacing w:line="276" w:lineRule="auto"/>
        <w:jc w:val="both"/>
        <w:rPr>
          <w:rFonts w:ascii="Times New Roman" w:hAnsi="Times New Roman" w:cs="Times New Roman"/>
          <w:sz w:val="24"/>
          <w:szCs w:val="24"/>
        </w:rPr>
      </w:pPr>
    </w:p>
    <w:p w14:paraId="0EF42D77" w14:textId="5EA06B93" w:rsidR="00D12F3F" w:rsidRPr="008B23E2"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8B23E2">
        <w:rPr>
          <w:rFonts w:ascii="Times New Roman" w:hAnsi="Times New Roman" w:cs="Times New Roman"/>
          <w:b/>
          <w:bCs/>
          <w:sz w:val="24"/>
          <w:szCs w:val="24"/>
        </w:rPr>
        <w:t>Postępowanie z nietrzeźwym pracownikiem</w:t>
      </w:r>
    </w:p>
    <w:p w14:paraId="4B4BCEEE" w14:textId="1A636276"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Pracodawca nie może dopuścić pracownika do pracy, jeżeli kontrola trzeźwości wykaże obecność alkoholu w organizmie pracownika wskazującą na stan po użyciu alkoholu albo stan nietrzeźwości.</w:t>
      </w:r>
    </w:p>
    <w:p w14:paraId="71C517FD" w14:textId="698573FB"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Pracodawca nie dopuszcza pracownika do pracy również w sytuacji, gdy zachodzi uzasadnione podejrzenie, że pracownik stawił się do pracy w stanie po użyciu alkoholu albo w stanie nietrzeźwości lub spożywał alkohol w czasie pracy.</w:t>
      </w:r>
    </w:p>
    <w:p w14:paraId="3FBF4BE2" w14:textId="6A0B8385"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Informację dotyczącą podstawy niedopuszczenia pracownika do pracy przekazuje się pracownikowi do wiadomości.</w:t>
      </w:r>
    </w:p>
    <w:p w14:paraId="56C18658" w14:textId="65119DCF"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Na żądanie pracodawcy lub pracownika niedopuszczonego do pracy badanie stanu trzeźwości pracownika przeprowadza uprawniony organ powołany do ochrony porządku publicznego.</w:t>
      </w:r>
    </w:p>
    <w:p w14:paraId="6FE000C3" w14:textId="43C99519"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Organ ten przeprowadza badanie stanu trzeźwości pracownika przy użyciu metod niewymagających badania laboratoryjnego.</w:t>
      </w:r>
    </w:p>
    <w:p w14:paraId="2769B640" w14:textId="2DD65331" w:rsidR="00D12F3F" w:rsidRPr="008B23E2" w:rsidRDefault="00D12F3F" w:rsidP="00C81CE1">
      <w:pPr>
        <w:pStyle w:val="Akapitzlist"/>
        <w:numPr>
          <w:ilvl w:val="0"/>
          <w:numId w:val="9"/>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W przypadku gdy wynik badania nie wskazuje na stan po użyciu alkoholu albo stan nietrzeźwości pracownika, okres niedopuszczenia pracownika do pracy jest okresem usprawiedliwionej nieobecności w pracy, za który pracownik zachowuje prawo do wynagrodzenia.</w:t>
      </w:r>
    </w:p>
    <w:p w14:paraId="12424D1B" w14:textId="77777777" w:rsidR="00D12F3F" w:rsidRPr="008B23E2" w:rsidRDefault="00D12F3F" w:rsidP="00C81CE1">
      <w:pPr>
        <w:pStyle w:val="Akapitzlist"/>
        <w:spacing w:line="276" w:lineRule="auto"/>
        <w:jc w:val="both"/>
        <w:rPr>
          <w:rFonts w:ascii="Times New Roman" w:hAnsi="Times New Roman" w:cs="Times New Roman"/>
          <w:sz w:val="24"/>
          <w:szCs w:val="24"/>
        </w:rPr>
      </w:pPr>
    </w:p>
    <w:p w14:paraId="4EF081DE" w14:textId="26EB87EF" w:rsidR="00D12F3F" w:rsidRPr="008B23E2"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8B23E2">
        <w:rPr>
          <w:rFonts w:ascii="Times New Roman" w:hAnsi="Times New Roman" w:cs="Times New Roman"/>
          <w:b/>
          <w:bCs/>
          <w:sz w:val="24"/>
          <w:szCs w:val="24"/>
        </w:rPr>
        <w:t>Kontrola pracowników na obecność środków działających podobnie do alkoholu</w:t>
      </w:r>
    </w:p>
    <w:p w14:paraId="34CA9E36" w14:textId="3E662C2D" w:rsidR="00D12F3F" w:rsidRPr="008B23E2" w:rsidRDefault="00D12F3F" w:rsidP="00C81CE1">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Pracodawca może wprowadzić również kontrolę pracowników na obecność w ich organizmach środków działających podobnie do alkoholu. Również i w tej sytuacji warunkiem będzie konieczność zapewnienia ochrony życia i zdrowia pracowników lub innych osób lub ochrony mienia.</w:t>
      </w:r>
    </w:p>
    <w:p w14:paraId="70B9A0ED" w14:textId="1ED975B8" w:rsidR="00D12F3F" w:rsidRPr="008B23E2" w:rsidRDefault="00D12F3F" w:rsidP="00C81CE1">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Pracodawca nie dopuszcza pracownika do pracy, jeżeli kontrola ta wykaże obecność w organizmie pracownika środka działającego podobnie do alkoholu albo zachodzi uzasadnione podejrzenie, że pracownik stawił się do pracy w stanie po użyciu takiego środka lub zażywał taki środek w czasie pracy.</w:t>
      </w:r>
    </w:p>
    <w:p w14:paraId="1785D69C" w14:textId="5A37E9ED" w:rsidR="00D12F3F" w:rsidRDefault="00D12F3F" w:rsidP="00C81CE1">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 xml:space="preserve">Kontrole trzeźwości </w:t>
      </w:r>
      <w:r w:rsidR="00C81CE1" w:rsidRPr="008B23E2">
        <w:rPr>
          <w:rFonts w:ascii="Times New Roman" w:hAnsi="Times New Roman" w:cs="Times New Roman"/>
          <w:sz w:val="24"/>
          <w:szCs w:val="24"/>
        </w:rPr>
        <w:t>można</w:t>
      </w:r>
      <w:r w:rsidRPr="008B23E2">
        <w:rPr>
          <w:rFonts w:ascii="Times New Roman" w:hAnsi="Times New Roman" w:cs="Times New Roman"/>
          <w:sz w:val="24"/>
          <w:szCs w:val="24"/>
        </w:rPr>
        <w:t xml:space="preserve"> przeprowadzać także </w:t>
      </w:r>
      <w:r w:rsidR="00C81CE1" w:rsidRPr="008B23E2">
        <w:rPr>
          <w:rFonts w:ascii="Times New Roman" w:hAnsi="Times New Roman" w:cs="Times New Roman"/>
          <w:sz w:val="24"/>
          <w:szCs w:val="24"/>
        </w:rPr>
        <w:t xml:space="preserve">wobec osób </w:t>
      </w:r>
      <w:r w:rsidRPr="008B23E2">
        <w:rPr>
          <w:rFonts w:ascii="Times New Roman" w:hAnsi="Times New Roman" w:cs="Times New Roman"/>
          <w:sz w:val="24"/>
          <w:szCs w:val="24"/>
        </w:rPr>
        <w:t>wykon</w:t>
      </w:r>
      <w:r w:rsidR="00C81CE1" w:rsidRPr="008B23E2">
        <w:rPr>
          <w:rFonts w:ascii="Times New Roman" w:hAnsi="Times New Roman" w:cs="Times New Roman"/>
          <w:sz w:val="24"/>
          <w:szCs w:val="24"/>
        </w:rPr>
        <w:t xml:space="preserve">ujących czynności </w:t>
      </w:r>
      <w:r w:rsidRPr="008B23E2">
        <w:rPr>
          <w:rFonts w:ascii="Times New Roman" w:hAnsi="Times New Roman" w:cs="Times New Roman"/>
          <w:sz w:val="24"/>
          <w:szCs w:val="24"/>
        </w:rPr>
        <w:t>na innej podstawie niż stosunek pracy oraz prowadzące na własny rachunek działalność gospodarczą.</w:t>
      </w:r>
    </w:p>
    <w:p w14:paraId="07BC7E7D" w14:textId="7BF7DD2F" w:rsidR="008B23E2" w:rsidRPr="008B23E2" w:rsidRDefault="008B23E2" w:rsidP="008B23E2">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 xml:space="preserve">Kontrolą trzeźwości objęci są wszyscy pracownicy zatrudnieni na stanowiskach biurowych,  obsługi i gospodarczych zatrudnieni na podstawie umowy o pracę, umowy zlecenie  oraz inne osoby, którym pracodawca organizuje pracę na innej podstawie niż stosunek pracy np. prace społecznie użyteczne, kontrolowana nieodpłatna praca na cele społeczne w ramach kary ograniczenia wolności. </w:t>
      </w:r>
    </w:p>
    <w:p w14:paraId="654D39C1" w14:textId="69FE74F8" w:rsidR="008B23E2" w:rsidRPr="008B23E2" w:rsidRDefault="008B23E2" w:rsidP="008B23E2">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Postanowienia niniejszego rozdziału mają odpowiednie zastosowanie do osób niebędących pracownikami, wykonujących na terenie zakładu pracę, bez względu na podstawę prawną świadczenia tej pracy.</w:t>
      </w:r>
    </w:p>
    <w:p w14:paraId="63B6F58C" w14:textId="4EF42D15" w:rsidR="008B23E2" w:rsidRPr="008B23E2" w:rsidRDefault="008B23E2" w:rsidP="008B23E2">
      <w:pPr>
        <w:pStyle w:val="Akapitzlist"/>
        <w:numPr>
          <w:ilvl w:val="0"/>
          <w:numId w:val="10"/>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W razie zachowania się osób, o których mowa w ust. 3 niniejszego paragrafu, wykazujących znamiona wykroczenia lub przestępstwa, pracodawca przekazuje sprawę do właściwych organów, informując pracodawców bądź zleceniodawców tych osób o przekazaniu sprawy do organów ścigania.</w:t>
      </w:r>
    </w:p>
    <w:p w14:paraId="175A7E1C" w14:textId="77777777" w:rsidR="00C81CE1" w:rsidRPr="008B23E2" w:rsidRDefault="00C81CE1" w:rsidP="00C81CE1">
      <w:pPr>
        <w:spacing w:line="276" w:lineRule="auto"/>
        <w:jc w:val="both"/>
        <w:rPr>
          <w:rFonts w:ascii="Times New Roman" w:hAnsi="Times New Roman" w:cs="Times New Roman"/>
          <w:sz w:val="24"/>
          <w:szCs w:val="24"/>
        </w:rPr>
      </w:pPr>
    </w:p>
    <w:p w14:paraId="1C0DAF0E" w14:textId="18FE19CD" w:rsidR="00D12F3F" w:rsidRPr="008B23E2" w:rsidRDefault="00D12F3F" w:rsidP="00C81CE1">
      <w:pPr>
        <w:pStyle w:val="Akapitzlist"/>
        <w:numPr>
          <w:ilvl w:val="0"/>
          <w:numId w:val="1"/>
        </w:numPr>
        <w:spacing w:line="276" w:lineRule="auto"/>
        <w:jc w:val="both"/>
        <w:rPr>
          <w:rFonts w:ascii="Times New Roman" w:hAnsi="Times New Roman" w:cs="Times New Roman"/>
          <w:b/>
          <w:bCs/>
          <w:sz w:val="24"/>
          <w:szCs w:val="24"/>
        </w:rPr>
      </w:pPr>
      <w:r w:rsidRPr="008B23E2">
        <w:rPr>
          <w:rFonts w:ascii="Times New Roman" w:hAnsi="Times New Roman" w:cs="Times New Roman"/>
          <w:b/>
          <w:bCs/>
          <w:sz w:val="24"/>
          <w:szCs w:val="24"/>
        </w:rPr>
        <w:t xml:space="preserve">Postanowienia końcowe </w:t>
      </w:r>
    </w:p>
    <w:p w14:paraId="652C1B2F" w14:textId="3BAE716D" w:rsidR="00D12F3F" w:rsidRPr="008B23E2" w:rsidRDefault="00D12F3F" w:rsidP="00C81CE1">
      <w:pPr>
        <w:pStyle w:val="Akapitzlist"/>
        <w:numPr>
          <w:ilvl w:val="0"/>
          <w:numId w:val="11"/>
        </w:numPr>
        <w:spacing w:line="276" w:lineRule="auto"/>
        <w:jc w:val="both"/>
        <w:rPr>
          <w:rFonts w:ascii="Times New Roman" w:hAnsi="Times New Roman" w:cs="Times New Roman"/>
          <w:sz w:val="24"/>
          <w:szCs w:val="24"/>
        </w:rPr>
      </w:pPr>
      <w:r w:rsidRPr="008B23E2">
        <w:rPr>
          <w:rFonts w:ascii="Times New Roman" w:hAnsi="Times New Roman" w:cs="Times New Roman"/>
          <w:sz w:val="24"/>
          <w:szCs w:val="24"/>
        </w:rPr>
        <w:t xml:space="preserve">Procedura wchodzi w życie z </w:t>
      </w:r>
      <w:r w:rsidR="008C4D5F">
        <w:rPr>
          <w:rFonts w:ascii="Times New Roman" w:hAnsi="Times New Roman" w:cs="Times New Roman"/>
          <w:sz w:val="24"/>
          <w:szCs w:val="24"/>
        </w:rPr>
        <w:t xml:space="preserve"> dniem wejścia w życie regulaminu pracy. </w:t>
      </w:r>
    </w:p>
    <w:p w14:paraId="67309567" w14:textId="569022B3" w:rsidR="00D12F3F" w:rsidRPr="00E86A05" w:rsidRDefault="00D12F3F" w:rsidP="00E86A05">
      <w:pPr>
        <w:pStyle w:val="Akapitzlist"/>
        <w:numPr>
          <w:ilvl w:val="0"/>
          <w:numId w:val="11"/>
        </w:numPr>
        <w:spacing w:line="276" w:lineRule="auto"/>
        <w:jc w:val="both"/>
        <w:rPr>
          <w:rFonts w:ascii="Times New Roman" w:hAnsi="Times New Roman" w:cs="Times New Roman"/>
          <w:sz w:val="24"/>
          <w:szCs w:val="24"/>
        </w:rPr>
      </w:pPr>
      <w:r w:rsidRPr="00E86A05">
        <w:rPr>
          <w:rFonts w:ascii="Times New Roman" w:hAnsi="Times New Roman" w:cs="Times New Roman"/>
          <w:sz w:val="24"/>
          <w:szCs w:val="24"/>
        </w:rPr>
        <w:t>W sprawach nieuregulowanych niniejszym dokumentem, znajdują zastosowanie przepisy obowiązujące w zakresie ochrony danych osobowych</w:t>
      </w:r>
      <w:r w:rsidR="006C2E78" w:rsidRPr="00E86A05">
        <w:rPr>
          <w:rFonts w:ascii="Times New Roman" w:hAnsi="Times New Roman" w:cs="Times New Roman"/>
          <w:sz w:val="24"/>
          <w:szCs w:val="24"/>
        </w:rPr>
        <w:t xml:space="preserve"> oraz przepisy prawa pracy</w:t>
      </w:r>
      <w:r w:rsidRPr="00E86A05">
        <w:rPr>
          <w:rFonts w:ascii="Times New Roman" w:hAnsi="Times New Roman" w:cs="Times New Roman"/>
          <w:sz w:val="24"/>
          <w:szCs w:val="24"/>
        </w:rPr>
        <w:t>.</w:t>
      </w:r>
    </w:p>
    <w:p w14:paraId="54FEFFDB" w14:textId="48DDD238" w:rsidR="00E86A05" w:rsidRPr="008B23E2" w:rsidRDefault="00E86A05" w:rsidP="00C81CE1">
      <w:pPr>
        <w:pStyle w:val="Akapitzlist"/>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załączeniu Klauzula informacyjna dla pracownika w związku z badaniem trzeźwości. </w:t>
      </w:r>
    </w:p>
    <w:p w14:paraId="1C78BAA1" w14:textId="77777777" w:rsidR="00E86A05" w:rsidRDefault="00E86A05" w:rsidP="00E86A05">
      <w:pPr>
        <w:autoSpaceDE w:val="0"/>
        <w:autoSpaceDN w:val="0"/>
        <w:adjustRightInd w:val="0"/>
        <w:spacing w:after="0" w:line="240" w:lineRule="auto"/>
        <w:jc w:val="center"/>
        <w:rPr>
          <w:rFonts w:ascii="Times New Roman" w:eastAsia="Calibri" w:hAnsi="Times New Roman" w:cs="Calibri"/>
          <w:b/>
          <w:bCs/>
          <w:color w:val="000000"/>
          <w:kern w:val="0"/>
          <w:u w:color="000000"/>
          <w:lang w:eastAsia="pl-PL"/>
          <w14:ligatures w14:val="none"/>
        </w:rPr>
      </w:pPr>
    </w:p>
    <w:p w14:paraId="5E9C6C08" w14:textId="77777777" w:rsidR="00E86A05" w:rsidRDefault="00E86A05" w:rsidP="00E86A05">
      <w:pPr>
        <w:autoSpaceDE w:val="0"/>
        <w:autoSpaceDN w:val="0"/>
        <w:adjustRightInd w:val="0"/>
        <w:spacing w:after="0" w:line="240" w:lineRule="auto"/>
        <w:jc w:val="center"/>
        <w:rPr>
          <w:rFonts w:ascii="Times New Roman" w:eastAsia="Calibri" w:hAnsi="Times New Roman" w:cs="Calibri"/>
          <w:b/>
          <w:bCs/>
          <w:color w:val="000000"/>
          <w:kern w:val="0"/>
          <w:u w:color="000000"/>
          <w:lang w:eastAsia="pl-PL"/>
          <w14:ligatures w14:val="none"/>
        </w:rPr>
      </w:pPr>
    </w:p>
    <w:p w14:paraId="30AFD26F" w14:textId="77777777" w:rsidR="00E86A05" w:rsidRPr="00E86A05" w:rsidRDefault="00E86A05" w:rsidP="00E86A05">
      <w:pPr>
        <w:autoSpaceDE w:val="0"/>
        <w:autoSpaceDN w:val="0"/>
        <w:adjustRightInd w:val="0"/>
        <w:spacing w:after="0" w:line="240" w:lineRule="auto"/>
        <w:jc w:val="center"/>
        <w:rPr>
          <w:rFonts w:ascii="Times New Roman" w:eastAsia="Calibri" w:hAnsi="Times New Roman" w:cs="Times New Roman"/>
          <w:b/>
          <w:bCs/>
          <w:color w:val="000000"/>
          <w:kern w:val="0"/>
          <w:u w:color="000000"/>
          <w:lang w:eastAsia="pl-PL"/>
          <w14:ligatures w14:val="none"/>
        </w:rPr>
      </w:pPr>
      <w:r w:rsidRPr="00E86A05">
        <w:rPr>
          <w:rFonts w:ascii="Times New Roman" w:eastAsia="Calibri" w:hAnsi="Times New Roman" w:cs="Calibri"/>
          <w:b/>
          <w:bCs/>
          <w:color w:val="000000"/>
          <w:kern w:val="0"/>
          <w:u w:color="000000"/>
          <w:lang w:eastAsia="pl-PL"/>
          <w14:ligatures w14:val="none"/>
        </w:rPr>
        <w:t xml:space="preserve">Klauzula </w:t>
      </w:r>
      <w:r w:rsidRPr="00E86A05">
        <w:rPr>
          <w:rFonts w:ascii="Times New Roman" w:eastAsia="Calibri" w:hAnsi="Times New Roman" w:cs="Times New Roman"/>
          <w:b/>
          <w:bCs/>
          <w:color w:val="000000"/>
          <w:kern w:val="0"/>
          <w:u w:color="000000"/>
          <w:lang w:eastAsia="pl-PL"/>
          <w14:ligatures w14:val="none"/>
        </w:rPr>
        <w:t>informacyjna dla pracownika w związku z badaniem trzeźwości</w:t>
      </w:r>
      <w:bookmarkStart w:id="0" w:name="_GoBack"/>
      <w:bookmarkEnd w:id="0"/>
    </w:p>
    <w:p w14:paraId="6428C1D1" w14:textId="77777777" w:rsidR="00E86A05" w:rsidRPr="00E86A05" w:rsidRDefault="00E86A05" w:rsidP="00E86A05">
      <w:pPr>
        <w:autoSpaceDE w:val="0"/>
        <w:autoSpaceDN w:val="0"/>
        <w:adjustRightInd w:val="0"/>
        <w:spacing w:after="0" w:line="240" w:lineRule="auto"/>
        <w:jc w:val="center"/>
        <w:rPr>
          <w:rFonts w:ascii="Times New Roman" w:eastAsia="Calibri" w:hAnsi="Times New Roman" w:cs="Times New Roman"/>
          <w:b/>
          <w:bCs/>
          <w:color w:val="000000"/>
          <w:kern w:val="0"/>
          <w:u w:color="000000"/>
          <w:lang w:eastAsia="pl-PL"/>
          <w14:ligatures w14:val="none"/>
        </w:rPr>
      </w:pPr>
    </w:p>
    <w:p w14:paraId="0AA0526F" w14:textId="77777777" w:rsidR="00E86A05" w:rsidRPr="00E86A05" w:rsidRDefault="00E86A05" w:rsidP="00E86A05">
      <w:pPr>
        <w:autoSpaceDE w:val="0"/>
        <w:autoSpaceDN w:val="0"/>
        <w:adjustRightInd w:val="0"/>
        <w:spacing w:after="0" w:line="240" w:lineRule="auto"/>
        <w:jc w:val="both"/>
        <w:rPr>
          <w:rFonts w:ascii="Calibri" w:eastAsia="Calibri" w:hAnsi="Calibri" w:cs="Calibri"/>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43872831" w14:textId="77777777" w:rsidR="00E86A05" w:rsidRPr="00E86A05" w:rsidRDefault="00E86A05" w:rsidP="00E86A05">
      <w:pPr>
        <w:autoSpaceDE w:val="0"/>
        <w:autoSpaceDN w:val="0"/>
        <w:adjustRightInd w:val="0"/>
        <w:spacing w:after="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 xml:space="preserve">informuję, że: </w:t>
      </w:r>
    </w:p>
    <w:p w14:paraId="331DBEA9" w14:textId="77777777" w:rsidR="00E86A05" w:rsidRPr="00E86A05" w:rsidRDefault="00E86A05" w:rsidP="00E86A05">
      <w:pPr>
        <w:autoSpaceDE w:val="0"/>
        <w:autoSpaceDN w:val="0"/>
        <w:adjustRightInd w:val="0"/>
        <w:spacing w:after="0" w:line="240" w:lineRule="auto"/>
        <w:jc w:val="both"/>
        <w:rPr>
          <w:rFonts w:ascii="Times New Roman" w:eastAsia="Calibri" w:hAnsi="Times New Roman" w:cs="Calibri"/>
          <w:bCs/>
          <w:color w:val="000000"/>
          <w:kern w:val="0"/>
          <w:u w:color="000000"/>
          <w:lang w:eastAsia="pl-PL"/>
          <w14:ligatures w14:val="none"/>
        </w:rPr>
      </w:pPr>
    </w:p>
    <w:p w14:paraId="17283197" w14:textId="77777777" w:rsidR="00E86A05" w:rsidRPr="00E86A05" w:rsidRDefault="00E86A05" w:rsidP="00E86A05">
      <w:pPr>
        <w:numPr>
          <w:ilvl w:val="0"/>
          <w:numId w:val="12"/>
        </w:numPr>
        <w:autoSpaceDE w:val="0"/>
        <w:autoSpaceDN w:val="0"/>
        <w:adjustRightInd w:val="0"/>
        <w:spacing w:after="6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Administratorem Pani/Pana danych osobowych jest Miejski Zarząd Budynków Komunalnych w Sławkowie, ul. Łosińska 1, 41-260 Sławków, e-mail: iod@mzbk.slawkow.pl, adres www: https://bip.mzbk.slawkow.pl tel. 32 2609969</w:t>
      </w:r>
    </w:p>
    <w:p w14:paraId="7C03194F" w14:textId="77777777" w:rsidR="00E86A05" w:rsidRPr="00E86A05" w:rsidRDefault="00E86A05" w:rsidP="00E86A05">
      <w:pPr>
        <w:numPr>
          <w:ilvl w:val="0"/>
          <w:numId w:val="12"/>
        </w:numPr>
        <w:spacing w:after="0" w:line="276" w:lineRule="auto"/>
        <w:ind w:hanging="357"/>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Administrator wyznaczył Inspektora Ochrony Danych, z którym może się Pani/Pan skontaktować w sprawach związanych z ochroną danych osobowych w następujący sposób:</w:t>
      </w:r>
    </w:p>
    <w:p w14:paraId="1DEEF964" w14:textId="77777777" w:rsidR="00E86A05" w:rsidRPr="00E86A05" w:rsidRDefault="00E86A05" w:rsidP="00E86A05">
      <w:pPr>
        <w:numPr>
          <w:ilvl w:val="0"/>
          <w:numId w:val="13"/>
        </w:numPr>
        <w:spacing w:after="0" w:line="276" w:lineRule="auto"/>
        <w:ind w:left="1134"/>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pod adresem poczty elektronicznej: iod@mzbk.slawkow.pl</w:t>
      </w:r>
    </w:p>
    <w:p w14:paraId="73E23762" w14:textId="77777777" w:rsidR="00E86A05" w:rsidRPr="00E86A05" w:rsidRDefault="00E86A05" w:rsidP="00E86A05">
      <w:pPr>
        <w:numPr>
          <w:ilvl w:val="0"/>
          <w:numId w:val="13"/>
        </w:numPr>
        <w:spacing w:after="0" w:line="276" w:lineRule="auto"/>
        <w:ind w:left="1134" w:hanging="357"/>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pisemnie na adres siedziby Administratora.</w:t>
      </w:r>
    </w:p>
    <w:p w14:paraId="4873A46F" w14:textId="77777777" w:rsidR="00E86A05" w:rsidRPr="00E86A05" w:rsidRDefault="00E86A05" w:rsidP="00E86A05">
      <w:pPr>
        <w:numPr>
          <w:ilvl w:val="0"/>
          <w:numId w:val="12"/>
        </w:numPr>
        <w:spacing w:after="0" w:line="256" w:lineRule="auto"/>
        <w:jc w:val="both"/>
        <w:rPr>
          <w:rFonts w:ascii="Times New Roman" w:eastAsia="Calibri" w:hAnsi="Times New Roman" w:cs="Times New Roman"/>
          <w:color w:val="000000"/>
          <w:kern w:val="0"/>
          <w:u w:color="000000"/>
          <w:lang w:eastAsia="pl-PL"/>
          <w14:ligatures w14:val="none"/>
        </w:rPr>
      </w:pPr>
      <w:r w:rsidRPr="00E86A05">
        <w:rPr>
          <w:rFonts w:ascii="Times New Roman" w:eastAsia="Arial Unicode MS" w:hAnsi="Times New Roman" w:cs="Times New Roman"/>
          <w:color w:val="000000"/>
          <w:kern w:val="0"/>
          <w:u w:color="000000"/>
          <w:lang w:eastAsia="pl-PL"/>
          <w14:ligatures w14:val="none"/>
        </w:rPr>
        <w:t xml:space="preserve">Pani/Pana dane osobowe będą przetwarzane na podstawie art. 6 ust. 1 lit. f) i art. 9 ust. 2 lit. b) RODO, w związku z przepisami ustawy z dnia 26 czerwca 1974 r. - Kodeks pracy i przepisami wykonawczymi, w celu zapewnienia ochrony życia i zdrowia pracowników lub innych osób lub ochrony mienia </w:t>
      </w:r>
      <w:r w:rsidRPr="00E86A05">
        <w:rPr>
          <w:rFonts w:ascii="Times New Roman" w:eastAsia="Calibri" w:hAnsi="Times New Roman" w:cs="Times New Roman"/>
          <w:color w:val="000000"/>
          <w:kern w:val="0"/>
          <w:u w:color="000000"/>
          <w:lang w:eastAsia="pl-PL"/>
          <w14:ligatures w14:val="none"/>
        </w:rPr>
        <w:t>w tym przepisami dotyczącymi pracodawców organizujących pracę osób na innej podstawie niż stosunek pracy</w:t>
      </w:r>
      <w:r w:rsidRPr="00E86A05">
        <w:rPr>
          <w:rFonts w:ascii="Times New Roman" w:eastAsia="Arial Unicode MS" w:hAnsi="Times New Roman" w:cs="Times New Roman"/>
          <w:color w:val="000000"/>
          <w:kern w:val="0"/>
          <w:u w:color="000000"/>
          <w:lang w:eastAsia="pl-PL"/>
          <w14:ligatures w14:val="none"/>
        </w:rPr>
        <w:t>.</w:t>
      </w:r>
    </w:p>
    <w:p w14:paraId="17781DA7" w14:textId="77777777" w:rsidR="00E86A05" w:rsidRPr="00E86A05" w:rsidRDefault="00E86A05" w:rsidP="00E86A05">
      <w:pPr>
        <w:numPr>
          <w:ilvl w:val="0"/>
          <w:numId w:val="12"/>
        </w:numPr>
        <w:spacing w:after="0" w:line="240" w:lineRule="auto"/>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Arial Unicode MS" w:hAnsi="Times New Roman" w:cs="Arial Unicode MS"/>
          <w:bCs/>
          <w:color w:val="000000"/>
          <w:kern w:val="0"/>
          <w:u w:color="000000"/>
          <w:lang w:eastAsia="pl-PL"/>
          <w14:ligatures w14:val="none"/>
        </w:rPr>
        <w:t>Pani/Pana dane osobowe przechowywane będą:</w:t>
      </w:r>
    </w:p>
    <w:p w14:paraId="761655A6" w14:textId="77777777" w:rsidR="00E86A05" w:rsidRPr="00E86A05" w:rsidRDefault="00E86A05" w:rsidP="00E86A05">
      <w:pPr>
        <w:numPr>
          <w:ilvl w:val="1"/>
          <w:numId w:val="12"/>
        </w:numPr>
        <w:spacing w:after="0" w:line="240" w:lineRule="auto"/>
        <w:ind w:left="1134"/>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Arial Unicode MS" w:hAnsi="Times New Roman" w:cs="Arial Unicode MS"/>
          <w:bCs/>
          <w:color w:val="000000"/>
          <w:kern w:val="0"/>
          <w:u w:color="000000"/>
          <w:lang w:eastAsia="pl-PL"/>
          <w14:ligatures w14:val="none"/>
        </w:rPr>
        <w:t>przez okres nieprzekraczający roku od dnia ich zebrania, albo</w:t>
      </w:r>
    </w:p>
    <w:p w14:paraId="51E0B42B" w14:textId="77777777" w:rsidR="00E86A05" w:rsidRPr="00E86A05" w:rsidRDefault="00E86A05" w:rsidP="00E86A05">
      <w:pPr>
        <w:numPr>
          <w:ilvl w:val="1"/>
          <w:numId w:val="12"/>
        </w:numPr>
        <w:spacing w:after="0" w:line="240" w:lineRule="auto"/>
        <w:ind w:left="1134"/>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Arial Unicode MS" w:hAnsi="Times New Roman" w:cs="Arial Unicode MS"/>
          <w:bCs/>
          <w:color w:val="000000"/>
          <w:kern w:val="0"/>
          <w:u w:color="000000"/>
          <w:lang w:eastAsia="pl-PL"/>
          <w14:ligatures w14:val="none"/>
        </w:rPr>
        <w:t>w przypadku zastosowania kary upomnienia, nagany lub kary pieniężnej, do momentu uznania kary za niebyłą,</w:t>
      </w:r>
    </w:p>
    <w:p w14:paraId="346CC0FF" w14:textId="77777777" w:rsidR="00E86A05" w:rsidRPr="00E86A05" w:rsidRDefault="00E86A05" w:rsidP="00E86A05">
      <w:pPr>
        <w:numPr>
          <w:ilvl w:val="1"/>
          <w:numId w:val="12"/>
        </w:numPr>
        <w:spacing w:after="0" w:line="240" w:lineRule="auto"/>
        <w:ind w:left="1134"/>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Arial Unicode MS" w:hAnsi="Times New Roman" w:cs="Arial Unicode MS"/>
          <w:bCs/>
          <w:color w:val="000000"/>
          <w:kern w:val="0"/>
          <w:u w:color="000000"/>
          <w:lang w:eastAsia="pl-PL"/>
          <w14:ligatures w14:val="none"/>
        </w:rPr>
        <w:t>w przypadku, gdy informacje o dacie, godzinie i minucie badania oraz jego wyniku, mogą stanowić lub stanowią dowód w postępowaniu prowadzonym na podstawie przepisów prawa, w którym pracodawca jest stroną postępowania albo uzyska wiedzę o wytoczeniu powództwa lub wszczęciu postępowania – do momentu prawomocnego zakończenia postępowania.</w:t>
      </w:r>
    </w:p>
    <w:p w14:paraId="4B34B547" w14:textId="77777777" w:rsidR="00E86A05" w:rsidRPr="00E86A05" w:rsidRDefault="00E86A05" w:rsidP="00E86A05">
      <w:pPr>
        <w:numPr>
          <w:ilvl w:val="0"/>
          <w:numId w:val="12"/>
        </w:numPr>
        <w:spacing w:after="0" w:line="240" w:lineRule="auto"/>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Arial Unicode MS" w:hAnsi="Times New Roman" w:cs="Arial Unicode MS"/>
          <w:bCs/>
          <w:color w:val="000000"/>
          <w:kern w:val="0"/>
          <w:u w:color="000000"/>
          <w:lang w:eastAsia="pl-PL"/>
          <w14:ligatures w14:val="none"/>
        </w:rPr>
        <w:t>Odbiorcami danych osobowych będą podmioty zapewniające, na podstawie umów zawartych przez administratora, obsługę działalności administratora (np. dostawcy usług informatycznych, poczty elektronicznej, systemów kadrowych, systemów monitorowania i ewidencji czasu pracy). Dane osobowe będą udostępnione organowi powołanemu do ochrony porządku publicznego, przeprowadzającemu badanie trzeźwości.</w:t>
      </w:r>
    </w:p>
    <w:p w14:paraId="401B38F0" w14:textId="77777777" w:rsidR="00E86A05" w:rsidRPr="00E86A05" w:rsidRDefault="00E86A05" w:rsidP="00E86A05">
      <w:pPr>
        <w:numPr>
          <w:ilvl w:val="0"/>
          <w:numId w:val="12"/>
        </w:numPr>
        <w:autoSpaceDE w:val="0"/>
        <w:autoSpaceDN w:val="0"/>
        <w:adjustRightInd w:val="0"/>
        <w:spacing w:after="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Posiada Pani/Pan prawo żądania do:</w:t>
      </w:r>
    </w:p>
    <w:p w14:paraId="6F642859" w14:textId="77777777" w:rsidR="00E86A05" w:rsidRPr="00E86A05" w:rsidRDefault="00E86A05" w:rsidP="00E86A05">
      <w:pPr>
        <w:numPr>
          <w:ilvl w:val="0"/>
          <w:numId w:val="14"/>
        </w:numPr>
        <w:spacing w:after="0" w:line="240" w:lineRule="auto"/>
        <w:ind w:left="99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dostępu do swoich danych osobowych. Jest to prawo, dzięki któremu możesz żądać, abyśmy potwierdzili, czy przetwarzamy Twoje dane osobowe oraz otrzymać od nas dostęp do tych danych (w tym ich kopii).</w:t>
      </w:r>
    </w:p>
    <w:p w14:paraId="706CE460" w14:textId="77777777" w:rsidR="00E86A05" w:rsidRPr="00E86A05" w:rsidRDefault="00E86A05" w:rsidP="00E86A05">
      <w:pPr>
        <w:numPr>
          <w:ilvl w:val="0"/>
          <w:numId w:val="14"/>
        </w:numPr>
        <w:spacing w:after="0" w:line="240" w:lineRule="auto"/>
        <w:ind w:left="99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sprostowania swoich danych osobowych. Jest to prawo, dzięki któremu możesz żądać od nas, abyśmy sprostowali Twoje dane osobowe, które są nieprawidłowe oraz abyśmy uzupełnili niekompletne dane osobowe.</w:t>
      </w:r>
    </w:p>
    <w:p w14:paraId="1C82356E" w14:textId="77777777" w:rsidR="00E86A05" w:rsidRPr="00E86A05" w:rsidRDefault="00E86A05" w:rsidP="00E86A05">
      <w:pPr>
        <w:numPr>
          <w:ilvl w:val="0"/>
          <w:numId w:val="14"/>
        </w:numPr>
        <w:spacing w:after="0" w:line="240" w:lineRule="auto"/>
        <w:ind w:left="99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14:paraId="4A488EDB"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dane osobowe nie są już niezbędne do celów, dla których zostały zebrane, </w:t>
      </w:r>
    </w:p>
    <w:p w14:paraId="5C9D55DA"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cofnięto zgodę, na której opiera się przetwarzanie i nie mamy innej podstawy prawnej do ich przetwarzania,  dane osobowe były przetwarzane niezgodnie z prawem, </w:t>
      </w:r>
    </w:p>
    <w:p w14:paraId="1AF3746C"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dane osobowe muszą zostać usunięte w celu wywiązania się z obowiązku prawnego.</w:t>
      </w:r>
    </w:p>
    <w:p w14:paraId="08C6201D" w14:textId="77777777" w:rsidR="00E86A05" w:rsidRPr="00E86A05" w:rsidRDefault="00E86A05" w:rsidP="00E86A05">
      <w:pPr>
        <w:numPr>
          <w:ilvl w:val="0"/>
          <w:numId w:val="14"/>
        </w:numPr>
        <w:spacing w:after="0" w:line="240" w:lineRule="auto"/>
        <w:ind w:left="99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ograniczenia przetwarzania swoich danych osobowych. Jest to prawo, dzięki któremu możesz żądać, abyśmy ograniczyli przetwarzanie Twoich danych osobowych w następujących przypadkach: </w:t>
      </w:r>
    </w:p>
    <w:p w14:paraId="33CAB9F3"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gdy kwestionujesz prawidłowość Twoich danych osobowych przetwarzanych przez nas, </w:t>
      </w:r>
    </w:p>
    <w:p w14:paraId="034C68B6"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przetwarzanie przez nas Twoich danych osobowych jest niezgodne z prawem i sprzeciwiłeś się usunięciu swoich danych osobowych, </w:t>
      </w:r>
    </w:p>
    <w:p w14:paraId="2559C1E5" w14:textId="77777777" w:rsidR="00E86A05" w:rsidRPr="00E86A05" w:rsidRDefault="00E86A05" w:rsidP="00E86A05">
      <w:pPr>
        <w:numPr>
          <w:ilvl w:val="0"/>
          <w:numId w:val="15"/>
        </w:numPr>
        <w:spacing w:after="0" w:line="240" w:lineRule="auto"/>
        <w:ind w:left="1134" w:hanging="15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nie potrzebujemy już Twoich danych osobowych, ale są one Tobie potrzebne do ustalenia, dochodzenia lub obrony roszczeń. </w:t>
      </w:r>
    </w:p>
    <w:p w14:paraId="7F70355F" w14:textId="77777777" w:rsidR="00E86A05" w:rsidRPr="00E86A05" w:rsidRDefault="00E86A05" w:rsidP="00E86A05">
      <w:pPr>
        <w:tabs>
          <w:tab w:val="right" w:pos="9356"/>
        </w:tabs>
        <w:spacing w:after="0" w:line="256" w:lineRule="auto"/>
        <w:ind w:left="993"/>
        <w:jc w:val="both"/>
        <w:rPr>
          <w:rFonts w:ascii="Times New Roman" w:eastAsia="Times New Roman" w:hAnsi="Times New Roman" w:cs="Calibri"/>
          <w:color w:val="000000"/>
          <w:kern w:val="0"/>
          <w:u w:color="000000"/>
          <w:lang w:eastAsia="pl-PL"/>
          <w14:ligatures w14:val="none"/>
        </w:rPr>
      </w:pPr>
      <w:r w:rsidRPr="00E86A05">
        <w:rPr>
          <w:rFonts w:ascii="Times New Roman" w:eastAsia="Times New Roman" w:hAnsi="Times New Roman" w:cs="Calibri"/>
          <w:color w:val="000000"/>
          <w:kern w:val="0"/>
          <w:u w:color="000000"/>
          <w:lang w:eastAsia="pl-PL"/>
          <w14:ligatures w14:val="none"/>
        </w:rPr>
        <w:t>Jeśli skorzystają Państwo z prawa do ograniczenia przetwarzania danych osobowych, możemy je przetwarzać w wyjątkowych sytuacjach, wskazanych w art.18 ust.2 RODO.</w:t>
      </w:r>
    </w:p>
    <w:p w14:paraId="0EBC83C9" w14:textId="77777777" w:rsidR="00E86A05" w:rsidRPr="00E86A05" w:rsidRDefault="00E86A05" w:rsidP="00E86A05">
      <w:pPr>
        <w:numPr>
          <w:ilvl w:val="0"/>
          <w:numId w:val="14"/>
        </w:numPr>
        <w:spacing w:after="200" w:line="276" w:lineRule="auto"/>
        <w:ind w:left="993"/>
        <w:contextualSpacing/>
        <w:jc w:val="both"/>
        <w:rPr>
          <w:rFonts w:ascii="Times New Roman" w:eastAsia="Times New Roman" w:hAnsi="Times New Roman" w:cs="Arial Unicode M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Prawa do przenoszenia danych nie stosuje się, gdyż przetwarzanie nie odbywa się w sposób zautomatyzowany.</w:t>
      </w:r>
    </w:p>
    <w:p w14:paraId="71187CAD" w14:textId="77777777" w:rsidR="00E86A05" w:rsidRPr="00E86A05" w:rsidRDefault="00E86A05" w:rsidP="00E86A05">
      <w:pPr>
        <w:numPr>
          <w:ilvl w:val="0"/>
          <w:numId w:val="14"/>
        </w:numPr>
        <w:autoSpaceDE w:val="0"/>
        <w:autoSpaceDN w:val="0"/>
        <w:adjustRightInd w:val="0"/>
        <w:spacing w:after="0" w:line="240" w:lineRule="auto"/>
        <w:ind w:left="993"/>
        <w:contextualSpacing/>
        <w:jc w:val="both"/>
        <w:rPr>
          <w:rFonts w:ascii="Times New Roman" w:eastAsia="Arial Unicode MS" w:hAnsi="Times New Roman" w:cs="Arial Unicode MS"/>
          <w:bCs/>
          <w:color w:val="000000"/>
          <w:kern w:val="0"/>
          <w:u w:color="000000"/>
          <w:lang w:eastAsia="pl-PL"/>
          <w14:ligatures w14:val="none"/>
        </w:rPr>
      </w:pPr>
      <w:r w:rsidRPr="00E86A05">
        <w:rPr>
          <w:rFonts w:ascii="Times New Roman" w:eastAsia="Times New Roman" w:hAnsi="Times New Roman" w:cs="Arial Unicode MS"/>
          <w:color w:val="000000"/>
          <w:kern w:val="0"/>
          <w:u w:color="000000"/>
          <w:lang w:eastAsia="pl-PL"/>
          <w14:ligatures w14:val="none"/>
        </w:rPr>
        <w:t xml:space="preserve">Prawa do </w:t>
      </w:r>
      <w:r w:rsidRPr="00E86A05">
        <w:rPr>
          <w:rFonts w:ascii="Times New Roman" w:eastAsia="Arial Unicode MS" w:hAnsi="Times New Roman" w:cs="Arial Unicode MS"/>
          <w:bCs/>
          <w:color w:val="000000"/>
          <w:kern w:val="0"/>
          <w:u w:color="000000"/>
          <w:lang w:eastAsia="pl-PL"/>
          <w14:ligatures w14:val="none"/>
        </w:rPr>
        <w:t xml:space="preserve">wniesienia sprzeciwu wobec przetwarzania swoich danych osobowych </w:t>
      </w:r>
      <w:r w:rsidRPr="00E86A05">
        <w:rPr>
          <w:rFonts w:ascii="Times New Roman" w:eastAsia="Times New Roman" w:hAnsi="Times New Roman" w:cs="Arial Unicode MS"/>
          <w:color w:val="000000"/>
          <w:kern w:val="0"/>
          <w:u w:color="000000"/>
          <w:lang w:eastAsia="pl-PL"/>
          <w14:ligatures w14:val="none"/>
        </w:rPr>
        <w:t xml:space="preserve">nie stosuje się, gdyż podstawą przetwarzania jest podjęcie działań na żądanie osoby, której dane dotyczą, przed zawarciem umowy – </w:t>
      </w:r>
      <w:r w:rsidRPr="00E86A05">
        <w:rPr>
          <w:rFonts w:ascii="Times New Roman" w:eastAsia="Arial Unicode MS" w:hAnsi="Times New Roman" w:cs="Arial Unicode MS"/>
          <w:bCs/>
          <w:color w:val="000000"/>
          <w:kern w:val="0"/>
          <w:u w:color="000000"/>
          <w:lang w:eastAsia="pl-PL"/>
          <w14:ligatures w14:val="none"/>
        </w:rPr>
        <w:t>Art. 6 ust. 1 lit. b</w:t>
      </w:r>
    </w:p>
    <w:p w14:paraId="5373DDB3" w14:textId="77777777" w:rsidR="00E86A05" w:rsidRPr="00E86A05" w:rsidRDefault="00E86A05" w:rsidP="00E86A05">
      <w:pPr>
        <w:numPr>
          <w:ilvl w:val="0"/>
          <w:numId w:val="12"/>
        </w:numPr>
        <w:autoSpaceDE w:val="0"/>
        <w:autoSpaceDN w:val="0"/>
        <w:adjustRightInd w:val="0"/>
        <w:spacing w:after="6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 xml:space="preserve">Ma Pani/Pan prawo wniesienia skargi do organu nadzorczego, </w:t>
      </w:r>
      <w:proofErr w:type="spellStart"/>
      <w:r w:rsidRPr="00E86A05">
        <w:rPr>
          <w:rFonts w:ascii="Times New Roman" w:eastAsia="Calibri" w:hAnsi="Times New Roman" w:cs="Calibri"/>
          <w:bCs/>
          <w:color w:val="000000"/>
          <w:kern w:val="0"/>
          <w:u w:color="000000"/>
          <w:lang w:eastAsia="pl-PL"/>
          <w14:ligatures w14:val="none"/>
        </w:rPr>
        <w:t>tj</w:t>
      </w:r>
      <w:proofErr w:type="spellEnd"/>
      <w:r w:rsidRPr="00E86A05">
        <w:rPr>
          <w:rFonts w:ascii="Times New Roman" w:eastAsia="Calibri" w:hAnsi="Times New Roman" w:cs="Calibri"/>
          <w:bCs/>
          <w:color w:val="000000"/>
          <w:kern w:val="0"/>
          <w:u w:color="000000"/>
          <w:lang w:eastAsia="pl-PL"/>
          <w14:ligatures w14:val="none"/>
        </w:rPr>
        <w:t xml:space="preserve"> .Prezesa UODO (na adres Urzędu Ochrony Danych Osobowych, ul .Stawki 2, 00-193 Warszawa).</w:t>
      </w:r>
    </w:p>
    <w:p w14:paraId="1F0D08C0" w14:textId="77777777" w:rsidR="00E86A05" w:rsidRPr="00E86A05" w:rsidRDefault="00E86A05" w:rsidP="00E86A05">
      <w:pPr>
        <w:numPr>
          <w:ilvl w:val="0"/>
          <w:numId w:val="12"/>
        </w:numPr>
        <w:autoSpaceDE w:val="0"/>
        <w:autoSpaceDN w:val="0"/>
        <w:adjustRightInd w:val="0"/>
        <w:spacing w:after="6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 xml:space="preserve">Podanie danych osobowych jest dobrowolne, ale niezbędne do zapewnienia ochrony życia zdrowia pracowników lub innych osób lub ochrony mienia. Niepodanie danych będzie skutkować przeprowadzeniem badania przez uprawiony organ powołany do ochrony porządku publicznego. </w:t>
      </w:r>
    </w:p>
    <w:p w14:paraId="521576BB" w14:textId="77777777" w:rsidR="00E86A05" w:rsidRPr="00E86A05" w:rsidRDefault="00E86A05" w:rsidP="00E86A05">
      <w:pPr>
        <w:numPr>
          <w:ilvl w:val="0"/>
          <w:numId w:val="12"/>
        </w:numPr>
        <w:autoSpaceDE w:val="0"/>
        <w:autoSpaceDN w:val="0"/>
        <w:adjustRightInd w:val="0"/>
        <w:spacing w:after="0" w:line="240" w:lineRule="auto"/>
        <w:jc w:val="both"/>
        <w:rPr>
          <w:rFonts w:ascii="Times New Roman" w:eastAsia="Calibri" w:hAnsi="Times New Roman" w:cs="Calibri"/>
          <w:bCs/>
          <w:color w:val="000000"/>
          <w:kern w:val="0"/>
          <w:u w:color="000000"/>
          <w:lang w:eastAsia="pl-PL"/>
          <w14:ligatures w14:val="none"/>
        </w:rPr>
      </w:pPr>
      <w:r w:rsidRPr="00E86A05">
        <w:rPr>
          <w:rFonts w:ascii="Times New Roman" w:eastAsia="Calibri" w:hAnsi="Times New Roman" w:cs="Calibri"/>
          <w:bCs/>
          <w:color w:val="000000"/>
          <w:kern w:val="0"/>
          <w:u w:color="000000"/>
          <w:lang w:eastAsia="pl-PL"/>
          <w14:ligatures w14:val="none"/>
        </w:rPr>
        <w:t>Dane osobowe nie będą przetwarzane w systemach zautomatyzowanego podejmowania decyzji w tym profilowane.</w:t>
      </w:r>
    </w:p>
    <w:p w14:paraId="26F9098F" w14:textId="77777777" w:rsidR="001D7A44" w:rsidRPr="008B23E2" w:rsidRDefault="001D7A44" w:rsidP="001D7A44">
      <w:pPr>
        <w:spacing w:line="276" w:lineRule="auto"/>
        <w:jc w:val="both"/>
        <w:rPr>
          <w:rFonts w:ascii="Times New Roman" w:hAnsi="Times New Roman" w:cs="Times New Roman"/>
          <w:sz w:val="24"/>
          <w:szCs w:val="24"/>
        </w:rPr>
      </w:pPr>
    </w:p>
    <w:sectPr w:rsidR="001D7A44" w:rsidRPr="008B23E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42337" w14:textId="77777777" w:rsidR="00C00D81" w:rsidRDefault="00C00D81" w:rsidP="007B7BF7">
      <w:pPr>
        <w:spacing w:after="0" w:line="240" w:lineRule="auto"/>
      </w:pPr>
      <w:r>
        <w:separator/>
      </w:r>
    </w:p>
  </w:endnote>
  <w:endnote w:type="continuationSeparator" w:id="0">
    <w:p w14:paraId="15222027" w14:textId="77777777" w:rsidR="00C00D81" w:rsidRDefault="00C00D81" w:rsidP="007B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5770" w14:textId="77777777" w:rsidR="00C00D81" w:rsidRDefault="00C00D81" w:rsidP="007B7BF7">
      <w:pPr>
        <w:spacing w:after="0" w:line="240" w:lineRule="auto"/>
      </w:pPr>
      <w:r>
        <w:separator/>
      </w:r>
    </w:p>
  </w:footnote>
  <w:footnote w:type="continuationSeparator" w:id="0">
    <w:p w14:paraId="438DE3DE" w14:textId="77777777" w:rsidR="00C00D81" w:rsidRDefault="00C00D81" w:rsidP="007B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1826" w14:textId="051B42EF" w:rsidR="007B7BF7" w:rsidRDefault="007B7BF7" w:rsidP="007B7BF7">
    <w:pPr>
      <w:pStyle w:val="Nagwek"/>
      <w:jc w:val="right"/>
    </w:pPr>
    <w:r>
      <w:t xml:space="preserve">Załącznik nr </w:t>
    </w:r>
    <w:r w:rsidR="00101C47">
      <w:t>2</w:t>
    </w:r>
    <w:r>
      <w:t xml:space="preserve"> do Regulaminu Pracy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4F2"/>
    <w:multiLevelType w:val="hybridMultilevel"/>
    <w:tmpl w:val="419A254A"/>
    <w:lvl w:ilvl="0" w:tplc="EB12C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541DC"/>
    <w:multiLevelType w:val="hybridMultilevel"/>
    <w:tmpl w:val="282C70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4C1BE7"/>
    <w:multiLevelType w:val="hybridMultilevel"/>
    <w:tmpl w:val="6FD00230"/>
    <w:lvl w:ilvl="0" w:tplc="0415000F">
      <w:start w:val="1"/>
      <w:numFmt w:val="decimal"/>
      <w:lvlText w:val="%1."/>
      <w:lvlJc w:val="left"/>
      <w:pPr>
        <w:ind w:left="720" w:hanging="360"/>
      </w:pPr>
    </w:lvl>
    <w:lvl w:ilvl="1" w:tplc="04150017">
      <w:start w:val="1"/>
      <w:numFmt w:val="lowerLetter"/>
      <w:lvlText w:val="%2)"/>
      <w:lvlJc w:val="left"/>
      <w:pPr>
        <w:ind w:left="1637"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22378A8"/>
    <w:multiLevelType w:val="hybridMultilevel"/>
    <w:tmpl w:val="3830D1AC"/>
    <w:lvl w:ilvl="0" w:tplc="9B86EF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46658"/>
    <w:multiLevelType w:val="hybridMultilevel"/>
    <w:tmpl w:val="5B72881A"/>
    <w:lvl w:ilvl="0" w:tplc="E63E9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C634C3"/>
    <w:multiLevelType w:val="hybridMultilevel"/>
    <w:tmpl w:val="405C93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A2AB5"/>
    <w:multiLevelType w:val="hybridMultilevel"/>
    <w:tmpl w:val="E6FAA332"/>
    <w:lvl w:ilvl="0" w:tplc="4BDCCF6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560C98"/>
    <w:multiLevelType w:val="hybridMultilevel"/>
    <w:tmpl w:val="9DFA05BA"/>
    <w:lvl w:ilvl="0" w:tplc="AFF027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A73338"/>
    <w:multiLevelType w:val="hybridMultilevel"/>
    <w:tmpl w:val="13B2E32A"/>
    <w:lvl w:ilvl="0" w:tplc="05ACE48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C2464A6"/>
    <w:multiLevelType w:val="hybridMultilevel"/>
    <w:tmpl w:val="81BEB4D2"/>
    <w:lvl w:ilvl="0" w:tplc="ECE0D9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8B69FD"/>
    <w:multiLevelType w:val="hybridMultilevel"/>
    <w:tmpl w:val="DEF272E0"/>
    <w:lvl w:ilvl="0" w:tplc="AFB67D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ED18E0"/>
    <w:multiLevelType w:val="hybridMultilevel"/>
    <w:tmpl w:val="E03CED2E"/>
    <w:lvl w:ilvl="0" w:tplc="8A02E16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42531F99"/>
    <w:multiLevelType w:val="hybridMultilevel"/>
    <w:tmpl w:val="631EF0CA"/>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68D21E45"/>
    <w:multiLevelType w:val="hybridMultilevel"/>
    <w:tmpl w:val="CABC02C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1"/>
  </w:num>
  <w:num w:numId="5">
    <w:abstractNumId w:val="12"/>
  </w:num>
  <w:num w:numId="6">
    <w:abstractNumId w:val="5"/>
  </w:num>
  <w:num w:numId="7">
    <w:abstractNumId w:val="3"/>
  </w:num>
  <w:num w:numId="8">
    <w:abstractNumId w:val="8"/>
  </w:num>
  <w:num w:numId="9">
    <w:abstractNumId w:val="9"/>
  </w:num>
  <w:num w:numId="10">
    <w:abstractNumId w:val="7"/>
  </w:num>
  <w:num w:numId="11">
    <w:abstractNumId w:val="10"/>
  </w:num>
  <w:num w:numId="1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44"/>
    <w:rsid w:val="000E5DF0"/>
    <w:rsid w:val="00101C47"/>
    <w:rsid w:val="0011461F"/>
    <w:rsid w:val="00160C59"/>
    <w:rsid w:val="001D7A44"/>
    <w:rsid w:val="002543A1"/>
    <w:rsid w:val="002F5709"/>
    <w:rsid w:val="00343F1C"/>
    <w:rsid w:val="003C7691"/>
    <w:rsid w:val="00412924"/>
    <w:rsid w:val="004758DF"/>
    <w:rsid w:val="004F5D6A"/>
    <w:rsid w:val="005933C2"/>
    <w:rsid w:val="00625E3A"/>
    <w:rsid w:val="006C2E78"/>
    <w:rsid w:val="00734608"/>
    <w:rsid w:val="00746C43"/>
    <w:rsid w:val="007B7BF7"/>
    <w:rsid w:val="007E5431"/>
    <w:rsid w:val="008B2321"/>
    <w:rsid w:val="008B23E2"/>
    <w:rsid w:val="008C4D5F"/>
    <w:rsid w:val="008D4676"/>
    <w:rsid w:val="00952F44"/>
    <w:rsid w:val="009C1160"/>
    <w:rsid w:val="00AA4328"/>
    <w:rsid w:val="00AD0299"/>
    <w:rsid w:val="00AF66AE"/>
    <w:rsid w:val="00C00D81"/>
    <w:rsid w:val="00C81CE1"/>
    <w:rsid w:val="00D0129F"/>
    <w:rsid w:val="00D12F3F"/>
    <w:rsid w:val="00DA34E3"/>
    <w:rsid w:val="00E86A05"/>
    <w:rsid w:val="00F326CA"/>
    <w:rsid w:val="00FC5E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9208"/>
  <w15:chartTrackingRefBased/>
  <w15:docId w15:val="{36033118-29C1-4D3D-BB45-8CD91DED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2F3F"/>
    <w:pPr>
      <w:ind w:left="720"/>
      <w:contextualSpacing/>
    </w:pPr>
  </w:style>
  <w:style w:type="paragraph" w:styleId="Nagwek">
    <w:name w:val="header"/>
    <w:basedOn w:val="Normalny"/>
    <w:link w:val="NagwekZnak"/>
    <w:uiPriority w:val="99"/>
    <w:unhideWhenUsed/>
    <w:rsid w:val="007B7B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BF7"/>
  </w:style>
  <w:style w:type="paragraph" w:styleId="Stopka">
    <w:name w:val="footer"/>
    <w:basedOn w:val="Normalny"/>
    <w:link w:val="StopkaZnak"/>
    <w:uiPriority w:val="99"/>
    <w:unhideWhenUsed/>
    <w:rsid w:val="007B7B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BF7"/>
  </w:style>
  <w:style w:type="paragraph" w:styleId="Tekstdymka">
    <w:name w:val="Balloon Text"/>
    <w:basedOn w:val="Normalny"/>
    <w:link w:val="TekstdymkaZnak"/>
    <w:uiPriority w:val="99"/>
    <w:semiHidden/>
    <w:unhideWhenUsed/>
    <w:rsid w:val="008B23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2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5C9E-513A-42C8-9304-3E3E67AA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1497</Words>
  <Characters>8982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Głuchowska</dc:creator>
  <cp:keywords/>
  <dc:description/>
  <cp:lastModifiedBy>Renata Kuzia</cp:lastModifiedBy>
  <cp:revision>3</cp:revision>
  <cp:lastPrinted>2025-02-13T08:50:00Z</cp:lastPrinted>
  <dcterms:created xsi:type="dcterms:W3CDTF">2025-02-18T06:21:00Z</dcterms:created>
  <dcterms:modified xsi:type="dcterms:W3CDTF">2025-02-18T07:46:00Z</dcterms:modified>
</cp:coreProperties>
</file>